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783AF" w14:textId="77777777" w:rsidR="00AB27DD" w:rsidRPr="00AB27DD" w:rsidRDefault="00AB27DD" w:rsidP="00AB27DD">
      <w:pPr>
        <w:keepNext/>
        <w:keepLines/>
        <w:rPr>
          <w:lang w:val="it-IT"/>
        </w:rPr>
      </w:pPr>
    </w:p>
    <w:p w14:paraId="0E4380AE" w14:textId="66A4C69C" w:rsidR="00AB27DD" w:rsidRPr="00793B6F" w:rsidRDefault="00353C74" w:rsidP="00793B6F">
      <w:pPr>
        <w:pStyle w:val="Corpotesto"/>
        <w:spacing w:before="21"/>
        <w:rPr>
          <w:rFonts w:ascii="Times New Roman" w:hAnsi="Times New Roman" w:cs="Times New Roman"/>
          <w:b/>
          <w:bCs/>
          <w:sz w:val="24"/>
          <w:szCs w:val="24"/>
        </w:rPr>
      </w:pPr>
      <w:r w:rsidRPr="00793B6F">
        <w:rPr>
          <w:rFonts w:ascii="Times New Roman" w:hAnsi="Times New Roman" w:cs="Times New Roman"/>
          <w:b/>
          <w:bCs/>
          <w:sz w:val="24"/>
          <w:szCs w:val="24"/>
        </w:rPr>
        <w:t>PROPOSTE PER IL MIGLIORAMENTO DEL MERCATO DELLA VENDITA DI ENERGIA ELETTRICA E GAS</w:t>
      </w:r>
    </w:p>
    <w:p w14:paraId="51A3820B" w14:textId="77777777" w:rsidR="00353C74" w:rsidRPr="00793B6F" w:rsidRDefault="00353C74" w:rsidP="00793B6F">
      <w:pPr>
        <w:pStyle w:val="Corpotesto"/>
        <w:spacing w:before="21"/>
        <w:rPr>
          <w:rFonts w:ascii="Times New Roman" w:hAnsi="Times New Roman" w:cs="Times New Roman"/>
          <w:sz w:val="24"/>
          <w:szCs w:val="24"/>
        </w:rPr>
      </w:pPr>
    </w:p>
    <w:p w14:paraId="4EAC5E37" w14:textId="287574B3" w:rsidR="00AB27DD" w:rsidRDefault="00AB27DD" w:rsidP="00793B6F">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Con il presente documento vogliamo portare l’attenzione su</w:t>
      </w:r>
      <w:r w:rsidR="00361F99" w:rsidRPr="00793B6F">
        <w:rPr>
          <w:rFonts w:ascii="Times New Roman" w:hAnsi="Times New Roman" w:cs="Times New Roman"/>
          <w:sz w:val="24"/>
          <w:szCs w:val="24"/>
        </w:rPr>
        <w:t xml:space="preserve">i seguenti </w:t>
      </w:r>
      <w:r w:rsidRPr="00793B6F">
        <w:rPr>
          <w:rFonts w:ascii="Times New Roman" w:hAnsi="Times New Roman" w:cs="Times New Roman"/>
          <w:sz w:val="24"/>
          <w:szCs w:val="24"/>
        </w:rPr>
        <w:t xml:space="preserve">temi </w:t>
      </w:r>
      <w:r w:rsidR="00361F99" w:rsidRPr="00793B6F">
        <w:rPr>
          <w:rFonts w:ascii="Times New Roman" w:hAnsi="Times New Roman" w:cs="Times New Roman"/>
          <w:sz w:val="24"/>
          <w:szCs w:val="24"/>
        </w:rPr>
        <w:t>con il</w:t>
      </w:r>
      <w:r w:rsidRPr="00793B6F">
        <w:rPr>
          <w:rFonts w:ascii="Times New Roman" w:hAnsi="Times New Roman" w:cs="Times New Roman"/>
          <w:sz w:val="24"/>
          <w:szCs w:val="24"/>
        </w:rPr>
        <w:t xml:space="preserve"> fine di </w:t>
      </w:r>
      <w:r w:rsidR="001B1AC8">
        <w:rPr>
          <w:rFonts w:ascii="Times New Roman" w:hAnsi="Times New Roman" w:cs="Times New Roman"/>
          <w:sz w:val="24"/>
          <w:szCs w:val="24"/>
        </w:rPr>
        <w:t>promuovere</w:t>
      </w:r>
      <w:r w:rsidRPr="00793B6F">
        <w:rPr>
          <w:rFonts w:ascii="Times New Roman" w:hAnsi="Times New Roman" w:cs="Times New Roman"/>
          <w:sz w:val="24"/>
          <w:szCs w:val="24"/>
        </w:rPr>
        <w:t xml:space="preserve"> </w:t>
      </w:r>
      <w:r w:rsidR="002E06C0" w:rsidRPr="00793B6F">
        <w:rPr>
          <w:rFonts w:ascii="Times New Roman" w:hAnsi="Times New Roman" w:cs="Times New Roman"/>
          <w:sz w:val="24"/>
          <w:szCs w:val="24"/>
        </w:rPr>
        <w:t xml:space="preserve">maggiore </w:t>
      </w:r>
      <w:r w:rsidR="002E06C0" w:rsidRPr="003E6B7D">
        <w:rPr>
          <w:rFonts w:ascii="Times New Roman" w:hAnsi="Times New Roman" w:cs="Times New Roman"/>
          <w:b/>
          <w:bCs/>
          <w:sz w:val="24"/>
          <w:szCs w:val="24"/>
        </w:rPr>
        <w:t>qualità</w:t>
      </w:r>
      <w:r w:rsidR="002E06C0" w:rsidRPr="00793B6F">
        <w:rPr>
          <w:rFonts w:ascii="Times New Roman" w:hAnsi="Times New Roman" w:cs="Times New Roman"/>
          <w:sz w:val="24"/>
          <w:szCs w:val="24"/>
        </w:rPr>
        <w:t xml:space="preserve"> del servizio ai clienti finali</w:t>
      </w:r>
      <w:r w:rsidR="003E6B7D">
        <w:rPr>
          <w:rFonts w:ascii="Times New Roman" w:hAnsi="Times New Roman" w:cs="Times New Roman"/>
          <w:sz w:val="24"/>
          <w:szCs w:val="24"/>
        </w:rPr>
        <w:t xml:space="preserve">, </w:t>
      </w:r>
      <w:r w:rsidRPr="003E6B7D">
        <w:rPr>
          <w:rFonts w:ascii="Times New Roman" w:hAnsi="Times New Roman" w:cs="Times New Roman"/>
          <w:b/>
          <w:bCs/>
          <w:sz w:val="24"/>
          <w:szCs w:val="24"/>
        </w:rPr>
        <w:t>affidabilità</w:t>
      </w:r>
      <w:r w:rsidRPr="00793B6F">
        <w:rPr>
          <w:rFonts w:ascii="Times New Roman" w:hAnsi="Times New Roman" w:cs="Times New Roman"/>
          <w:sz w:val="24"/>
          <w:szCs w:val="24"/>
        </w:rPr>
        <w:t xml:space="preserve"> della filiera</w:t>
      </w:r>
      <w:r w:rsidR="002E06C0">
        <w:rPr>
          <w:rFonts w:ascii="Times New Roman" w:hAnsi="Times New Roman" w:cs="Times New Roman"/>
          <w:sz w:val="24"/>
          <w:szCs w:val="24"/>
        </w:rPr>
        <w:t xml:space="preserve"> e</w:t>
      </w:r>
      <w:r w:rsidRPr="00793B6F">
        <w:rPr>
          <w:rFonts w:ascii="Times New Roman" w:hAnsi="Times New Roman" w:cs="Times New Roman"/>
          <w:sz w:val="24"/>
          <w:szCs w:val="24"/>
        </w:rPr>
        <w:t xml:space="preserve"> </w:t>
      </w:r>
      <w:r w:rsidRPr="003E6B7D">
        <w:rPr>
          <w:rFonts w:ascii="Times New Roman" w:hAnsi="Times New Roman" w:cs="Times New Roman"/>
          <w:b/>
          <w:bCs/>
          <w:sz w:val="24"/>
          <w:szCs w:val="24"/>
        </w:rPr>
        <w:t>minor prezzi</w:t>
      </w:r>
      <w:r w:rsidRPr="00793B6F">
        <w:rPr>
          <w:rFonts w:ascii="Times New Roman" w:hAnsi="Times New Roman" w:cs="Times New Roman"/>
          <w:sz w:val="24"/>
          <w:szCs w:val="24"/>
        </w:rPr>
        <w:t xml:space="preserve"> di fornitura</w:t>
      </w:r>
      <w:r w:rsidR="001A03B9">
        <w:rPr>
          <w:rFonts w:ascii="Times New Roman" w:hAnsi="Times New Roman" w:cs="Times New Roman"/>
          <w:sz w:val="24"/>
          <w:szCs w:val="24"/>
        </w:rPr>
        <w:t>.</w:t>
      </w:r>
    </w:p>
    <w:p w14:paraId="1D087ED8" w14:textId="05F3475F" w:rsidR="001A03B9" w:rsidRDefault="001A03B9" w:rsidP="00793B6F">
      <w:pPr>
        <w:pStyle w:val="Corpotesto"/>
        <w:spacing w:before="21"/>
        <w:rPr>
          <w:rFonts w:ascii="Times New Roman" w:hAnsi="Times New Roman" w:cs="Times New Roman"/>
          <w:sz w:val="24"/>
          <w:szCs w:val="24"/>
        </w:rPr>
      </w:pPr>
    </w:p>
    <w:p w14:paraId="67F7C48C" w14:textId="77777777" w:rsidR="006F0C7D" w:rsidRPr="00793B6F" w:rsidRDefault="006F0C7D" w:rsidP="00793B6F">
      <w:pPr>
        <w:pStyle w:val="Corpotesto"/>
        <w:spacing w:before="21"/>
        <w:rPr>
          <w:rFonts w:ascii="Times New Roman" w:hAnsi="Times New Roman" w:cs="Times New Roman"/>
          <w:sz w:val="24"/>
          <w:szCs w:val="24"/>
        </w:rPr>
      </w:pPr>
    </w:p>
    <w:p w14:paraId="45A73700" w14:textId="77777777" w:rsidR="00AB27DD" w:rsidRPr="00793B6F" w:rsidRDefault="00AB27DD" w:rsidP="00793B6F">
      <w:pPr>
        <w:pStyle w:val="Corpotesto"/>
        <w:spacing w:before="21"/>
        <w:ind w:left="708"/>
        <w:rPr>
          <w:rFonts w:ascii="Times New Roman" w:hAnsi="Times New Roman" w:cs="Times New Roman"/>
          <w:sz w:val="24"/>
          <w:szCs w:val="24"/>
        </w:rPr>
      </w:pPr>
      <w:r w:rsidRPr="00793B6F">
        <w:rPr>
          <w:rFonts w:ascii="Times New Roman" w:hAnsi="Times New Roman" w:cs="Times New Roman"/>
          <w:sz w:val="24"/>
          <w:szCs w:val="24"/>
        </w:rPr>
        <w:t xml:space="preserve">1. Il ruolo delle “controparti commerciali”: da opportunità di liberalizzazione a distorsione del mercato; </w:t>
      </w:r>
    </w:p>
    <w:p w14:paraId="3AF5DEBB" w14:textId="6AC336AA" w:rsidR="00AB27DD" w:rsidRPr="00793B6F" w:rsidRDefault="00AB27DD" w:rsidP="00793B6F">
      <w:pPr>
        <w:pStyle w:val="Corpotesto"/>
        <w:spacing w:before="21"/>
        <w:ind w:left="708"/>
        <w:rPr>
          <w:rFonts w:ascii="Times New Roman" w:hAnsi="Times New Roman" w:cs="Times New Roman"/>
          <w:sz w:val="24"/>
          <w:szCs w:val="24"/>
        </w:rPr>
      </w:pPr>
      <w:r w:rsidRPr="00793B6F">
        <w:rPr>
          <w:rFonts w:ascii="Times New Roman" w:hAnsi="Times New Roman" w:cs="Times New Roman"/>
          <w:sz w:val="24"/>
          <w:szCs w:val="24"/>
        </w:rPr>
        <w:t>2. L’impatto del rapporto tra distributore e venditore nella qualità de</w:t>
      </w:r>
      <w:r w:rsidR="006F0C7D">
        <w:rPr>
          <w:rFonts w:ascii="Times New Roman" w:hAnsi="Times New Roman" w:cs="Times New Roman"/>
          <w:sz w:val="24"/>
          <w:szCs w:val="24"/>
        </w:rPr>
        <w:t xml:space="preserve">l </w:t>
      </w:r>
      <w:r w:rsidRPr="00793B6F">
        <w:rPr>
          <w:rFonts w:ascii="Times New Roman" w:hAnsi="Times New Roman" w:cs="Times New Roman"/>
          <w:sz w:val="24"/>
          <w:szCs w:val="24"/>
        </w:rPr>
        <w:t xml:space="preserve">servizio di vendita ai clienti finali; </w:t>
      </w:r>
    </w:p>
    <w:p w14:paraId="056E7CB6" w14:textId="13A02B7B" w:rsidR="00AB27DD" w:rsidRDefault="00AB27DD" w:rsidP="00793B6F">
      <w:pPr>
        <w:pStyle w:val="Corpotesto"/>
        <w:spacing w:before="21"/>
        <w:ind w:left="708"/>
        <w:rPr>
          <w:rFonts w:ascii="Times New Roman" w:hAnsi="Times New Roman" w:cs="Times New Roman"/>
          <w:sz w:val="24"/>
          <w:szCs w:val="24"/>
        </w:rPr>
      </w:pPr>
      <w:r w:rsidRPr="00793B6F">
        <w:rPr>
          <w:rFonts w:ascii="Times New Roman" w:hAnsi="Times New Roman" w:cs="Times New Roman"/>
          <w:sz w:val="24"/>
          <w:szCs w:val="24"/>
        </w:rPr>
        <w:t>3. Efficientamento del processo di gestione della morosità</w:t>
      </w:r>
      <w:r w:rsidR="009E5E5D">
        <w:rPr>
          <w:rFonts w:ascii="Times New Roman" w:hAnsi="Times New Roman" w:cs="Times New Roman"/>
          <w:sz w:val="24"/>
          <w:szCs w:val="24"/>
        </w:rPr>
        <w:t>;</w:t>
      </w:r>
    </w:p>
    <w:p w14:paraId="6259D0ED" w14:textId="02B0D000" w:rsidR="00BD577F" w:rsidRDefault="00BD577F" w:rsidP="00793B6F">
      <w:pPr>
        <w:pStyle w:val="Corpotesto"/>
        <w:spacing w:before="21"/>
        <w:ind w:left="708"/>
        <w:rPr>
          <w:rFonts w:ascii="Times New Roman" w:hAnsi="Times New Roman" w:cs="Times New Roman"/>
          <w:sz w:val="24"/>
          <w:szCs w:val="24"/>
        </w:rPr>
      </w:pPr>
      <w:r w:rsidRPr="00BD577F">
        <w:rPr>
          <w:rFonts w:ascii="Times New Roman" w:hAnsi="Times New Roman" w:cs="Times New Roman"/>
          <w:sz w:val="24"/>
          <w:szCs w:val="24"/>
        </w:rPr>
        <w:t>4.</w:t>
      </w:r>
      <w:r>
        <w:rPr>
          <w:rFonts w:ascii="Times New Roman" w:hAnsi="Times New Roman" w:cs="Times New Roman"/>
          <w:sz w:val="24"/>
          <w:szCs w:val="24"/>
        </w:rPr>
        <w:t xml:space="preserve"> </w:t>
      </w:r>
      <w:r w:rsidRPr="00BD577F">
        <w:rPr>
          <w:rFonts w:ascii="Times New Roman" w:hAnsi="Times New Roman" w:cs="Times New Roman"/>
          <w:sz w:val="24"/>
          <w:szCs w:val="24"/>
        </w:rPr>
        <w:t>Prezzi fissi Vs penali</w:t>
      </w:r>
      <w:r w:rsidR="009E5E5D">
        <w:rPr>
          <w:rFonts w:ascii="Times New Roman" w:hAnsi="Times New Roman" w:cs="Times New Roman"/>
          <w:sz w:val="24"/>
          <w:szCs w:val="24"/>
        </w:rPr>
        <w:t>;</w:t>
      </w:r>
    </w:p>
    <w:p w14:paraId="657F130B" w14:textId="542839F5" w:rsidR="004B3C16" w:rsidRDefault="00BD577F" w:rsidP="00793B6F">
      <w:pPr>
        <w:pStyle w:val="Corpotesto"/>
        <w:spacing w:before="21"/>
        <w:ind w:left="708"/>
        <w:rPr>
          <w:rFonts w:ascii="Times New Roman" w:hAnsi="Times New Roman" w:cs="Times New Roman"/>
          <w:sz w:val="24"/>
          <w:szCs w:val="24"/>
        </w:rPr>
      </w:pPr>
      <w:r>
        <w:rPr>
          <w:rFonts w:ascii="Times New Roman" w:hAnsi="Times New Roman" w:cs="Times New Roman"/>
          <w:sz w:val="24"/>
          <w:szCs w:val="24"/>
        </w:rPr>
        <w:t>5</w:t>
      </w:r>
      <w:r w:rsidR="00763959">
        <w:rPr>
          <w:rFonts w:ascii="Times New Roman" w:hAnsi="Times New Roman" w:cs="Times New Roman"/>
          <w:sz w:val="24"/>
          <w:szCs w:val="24"/>
        </w:rPr>
        <w:t xml:space="preserve">. </w:t>
      </w:r>
      <w:r w:rsidR="004B3C16">
        <w:rPr>
          <w:rFonts w:ascii="Times New Roman" w:hAnsi="Times New Roman" w:cs="Times New Roman"/>
          <w:sz w:val="24"/>
          <w:szCs w:val="24"/>
        </w:rPr>
        <w:t>Perimetro tutele</w:t>
      </w:r>
      <w:r w:rsidR="009E5E5D">
        <w:rPr>
          <w:rFonts w:ascii="Times New Roman" w:hAnsi="Times New Roman" w:cs="Times New Roman"/>
          <w:sz w:val="24"/>
          <w:szCs w:val="24"/>
        </w:rPr>
        <w:t>;</w:t>
      </w:r>
    </w:p>
    <w:p w14:paraId="7AC54A4A" w14:textId="2644616C" w:rsidR="00763959" w:rsidRPr="00793B6F" w:rsidRDefault="004B3C16" w:rsidP="00793B6F">
      <w:pPr>
        <w:pStyle w:val="Corpotesto"/>
        <w:spacing w:before="21"/>
        <w:ind w:left="708"/>
        <w:rPr>
          <w:rFonts w:ascii="Times New Roman" w:hAnsi="Times New Roman" w:cs="Times New Roman"/>
          <w:sz w:val="24"/>
          <w:szCs w:val="24"/>
        </w:rPr>
      </w:pPr>
      <w:r>
        <w:rPr>
          <w:rFonts w:ascii="Times New Roman" w:hAnsi="Times New Roman" w:cs="Times New Roman"/>
          <w:sz w:val="24"/>
          <w:szCs w:val="24"/>
        </w:rPr>
        <w:t xml:space="preserve">6. </w:t>
      </w:r>
      <w:r w:rsidR="00763959">
        <w:rPr>
          <w:rFonts w:ascii="Times New Roman" w:hAnsi="Times New Roman" w:cs="Times New Roman"/>
          <w:sz w:val="24"/>
          <w:szCs w:val="24"/>
        </w:rPr>
        <w:t xml:space="preserve">CER: </w:t>
      </w:r>
      <w:r w:rsidR="004334BF">
        <w:rPr>
          <w:rFonts w:ascii="Times New Roman" w:hAnsi="Times New Roman" w:cs="Times New Roman"/>
          <w:sz w:val="24"/>
          <w:szCs w:val="24"/>
        </w:rPr>
        <w:t>dall’incentivo alla piena condivisione dell’energia</w:t>
      </w:r>
      <w:r w:rsidR="009E5E5D">
        <w:rPr>
          <w:rFonts w:ascii="Times New Roman" w:hAnsi="Times New Roman" w:cs="Times New Roman"/>
          <w:sz w:val="24"/>
          <w:szCs w:val="24"/>
        </w:rPr>
        <w:t>;</w:t>
      </w:r>
    </w:p>
    <w:p w14:paraId="3FD0B691" w14:textId="77777777" w:rsidR="00AB27DD" w:rsidRPr="00793B6F" w:rsidRDefault="00AB27DD" w:rsidP="00793B6F">
      <w:pPr>
        <w:pStyle w:val="Corpotesto"/>
        <w:spacing w:before="21"/>
        <w:rPr>
          <w:rFonts w:ascii="Times New Roman" w:hAnsi="Times New Roman" w:cs="Times New Roman"/>
          <w:sz w:val="24"/>
          <w:szCs w:val="24"/>
        </w:rPr>
      </w:pPr>
    </w:p>
    <w:p w14:paraId="44F89FEF" w14:textId="229041F8" w:rsidR="00AB27DD" w:rsidRDefault="00AB27DD" w:rsidP="00793B6F">
      <w:pPr>
        <w:pStyle w:val="Corpotesto"/>
        <w:numPr>
          <w:ilvl w:val="0"/>
          <w:numId w:val="37"/>
        </w:numPr>
        <w:spacing w:before="21"/>
        <w:rPr>
          <w:rFonts w:ascii="Times New Roman" w:hAnsi="Times New Roman" w:cs="Times New Roman"/>
          <w:b/>
          <w:bCs/>
          <w:sz w:val="24"/>
          <w:szCs w:val="24"/>
          <w:u w:val="single"/>
        </w:rPr>
      </w:pPr>
      <w:r w:rsidRPr="00793B6F">
        <w:rPr>
          <w:rFonts w:ascii="Times New Roman" w:hAnsi="Times New Roman" w:cs="Times New Roman"/>
          <w:b/>
          <w:bCs/>
          <w:sz w:val="24"/>
          <w:szCs w:val="24"/>
          <w:u w:val="single"/>
        </w:rPr>
        <w:t xml:space="preserve">Il ruolo delle “controparti commerciali”: da opportunità di liberalizzazione a distorsione del mercato </w:t>
      </w:r>
    </w:p>
    <w:p w14:paraId="59D6DAAF" w14:textId="77777777" w:rsidR="00793B6F" w:rsidRPr="00793B6F" w:rsidRDefault="00793B6F" w:rsidP="00793B6F">
      <w:pPr>
        <w:pStyle w:val="Corpotesto"/>
        <w:spacing w:before="21"/>
        <w:ind w:left="383"/>
        <w:rPr>
          <w:rFonts w:ascii="Times New Roman" w:hAnsi="Times New Roman" w:cs="Times New Roman"/>
          <w:b/>
          <w:bCs/>
          <w:sz w:val="24"/>
          <w:szCs w:val="24"/>
          <w:u w:val="single"/>
        </w:rPr>
      </w:pPr>
    </w:p>
    <w:p w14:paraId="092995A2" w14:textId="298BE6F0" w:rsidR="00AB27DD" w:rsidRDefault="00AB27DD" w:rsidP="00793B6F">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La regolazione ha introdotto nel 2013</w:t>
      </w:r>
      <w:r w:rsidR="006C3D91">
        <w:rPr>
          <w:rStyle w:val="Rimandonotaapidipagina"/>
          <w:rFonts w:ascii="Times New Roman" w:hAnsi="Times New Roman" w:cs="Times New Roman"/>
          <w:sz w:val="24"/>
          <w:szCs w:val="24"/>
        </w:rPr>
        <w:footnoteReference w:id="1"/>
      </w:r>
      <w:r w:rsidR="006C3D91">
        <w:t xml:space="preserve"> </w:t>
      </w:r>
      <w:r w:rsidRPr="00793B6F">
        <w:rPr>
          <w:rFonts w:ascii="Times New Roman" w:hAnsi="Times New Roman" w:cs="Times New Roman"/>
          <w:sz w:val="24"/>
          <w:szCs w:val="24"/>
        </w:rPr>
        <w:t xml:space="preserve">la figura della </w:t>
      </w:r>
      <w:r w:rsidRPr="00665B8C">
        <w:rPr>
          <w:rFonts w:ascii="Times New Roman" w:hAnsi="Times New Roman" w:cs="Times New Roman"/>
          <w:sz w:val="24"/>
          <w:szCs w:val="24"/>
        </w:rPr>
        <w:t>controparte commerciale</w:t>
      </w:r>
      <w:r w:rsidRPr="00793B6F">
        <w:rPr>
          <w:rFonts w:ascii="Times New Roman" w:hAnsi="Times New Roman" w:cs="Times New Roman"/>
          <w:sz w:val="24"/>
          <w:szCs w:val="24"/>
        </w:rPr>
        <w:t xml:space="preserve"> come soggetto ammesso al SII </w:t>
      </w:r>
      <w:r w:rsidR="00665B8C">
        <w:rPr>
          <w:rFonts w:ascii="Times New Roman" w:hAnsi="Times New Roman" w:cs="Times New Roman"/>
          <w:sz w:val="24"/>
          <w:szCs w:val="24"/>
        </w:rPr>
        <w:t xml:space="preserve">anche nel caso di </w:t>
      </w:r>
      <w:r w:rsidR="00665B8C" w:rsidRPr="00665B8C">
        <w:rPr>
          <w:rFonts w:ascii="Times New Roman" w:hAnsi="Times New Roman" w:cs="Times New Roman"/>
          <w:b/>
          <w:bCs/>
          <w:sz w:val="24"/>
          <w:szCs w:val="24"/>
        </w:rPr>
        <w:t xml:space="preserve">controparte commerciale </w:t>
      </w:r>
      <w:r w:rsidR="00665B8C" w:rsidRPr="00665B8C">
        <w:rPr>
          <w:rFonts w:ascii="Times New Roman" w:hAnsi="Times New Roman" w:cs="Times New Roman"/>
          <w:b/>
          <w:bCs/>
          <w:sz w:val="24"/>
          <w:szCs w:val="24"/>
          <w:u w:val="single"/>
        </w:rPr>
        <w:t>priva di un contratto di dispacciamento</w:t>
      </w:r>
      <w:r w:rsidRPr="00665B8C">
        <w:rPr>
          <w:rFonts w:ascii="Times New Roman" w:hAnsi="Times New Roman" w:cs="Times New Roman"/>
          <w:b/>
          <w:bCs/>
          <w:sz w:val="24"/>
          <w:szCs w:val="24"/>
          <w:u w:val="single"/>
        </w:rPr>
        <w:t xml:space="preserve"> </w:t>
      </w:r>
    </w:p>
    <w:p w14:paraId="5E35E8BA" w14:textId="716C56BD" w:rsidR="00F71D67" w:rsidRDefault="00AB27DD" w:rsidP="00793B6F">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Tale fattispecie ha consentito nei primi anni della liberalizzazione alla nascita e alla crescita di nuove società di vendita in fase di startup</w:t>
      </w:r>
      <w:r w:rsidR="00411EE1">
        <w:rPr>
          <w:rFonts w:ascii="Times New Roman" w:hAnsi="Times New Roman" w:cs="Times New Roman"/>
          <w:sz w:val="24"/>
          <w:szCs w:val="24"/>
        </w:rPr>
        <w:t xml:space="preserve"> e non ancora integrate</w:t>
      </w:r>
      <w:r w:rsidRPr="00793B6F">
        <w:rPr>
          <w:rFonts w:ascii="Times New Roman" w:hAnsi="Times New Roman" w:cs="Times New Roman"/>
          <w:sz w:val="24"/>
          <w:szCs w:val="24"/>
        </w:rPr>
        <w:t xml:space="preserve"> sulla filiera a monte</w:t>
      </w:r>
      <w:r w:rsidR="00BC343D">
        <w:rPr>
          <w:rFonts w:ascii="Times New Roman" w:hAnsi="Times New Roman" w:cs="Times New Roman"/>
          <w:sz w:val="24"/>
          <w:szCs w:val="24"/>
        </w:rPr>
        <w:t xml:space="preserve"> contribuendo allo sviluppo del mercato liberalizzato</w:t>
      </w:r>
      <w:r w:rsidRPr="00793B6F">
        <w:rPr>
          <w:rFonts w:ascii="Times New Roman" w:hAnsi="Times New Roman" w:cs="Times New Roman"/>
          <w:sz w:val="24"/>
          <w:szCs w:val="24"/>
        </w:rPr>
        <w:t xml:space="preserve">. </w:t>
      </w:r>
    </w:p>
    <w:p w14:paraId="11689C0C" w14:textId="77777777" w:rsidR="00BE448C" w:rsidRDefault="00BE448C" w:rsidP="00BE448C">
      <w:pPr>
        <w:pStyle w:val="Corpotesto"/>
        <w:spacing w:before="21"/>
        <w:rPr>
          <w:rFonts w:ascii="Times New Roman" w:hAnsi="Times New Roman" w:cs="Times New Roman"/>
          <w:sz w:val="24"/>
          <w:szCs w:val="24"/>
        </w:rPr>
      </w:pPr>
    </w:p>
    <w:p w14:paraId="1B5E25E5" w14:textId="361747E0" w:rsidR="00AB27DD" w:rsidRDefault="00AB27DD" w:rsidP="00793B6F">
      <w:pPr>
        <w:pStyle w:val="Corpotesto"/>
        <w:spacing w:before="21"/>
        <w:rPr>
          <w:rFonts w:ascii="Times New Roman" w:hAnsi="Times New Roman" w:cs="Times New Roman"/>
          <w:sz w:val="24"/>
          <w:szCs w:val="24"/>
        </w:rPr>
      </w:pPr>
      <w:proofErr w:type="gramStart"/>
      <w:r w:rsidRPr="00793B6F">
        <w:rPr>
          <w:rFonts w:ascii="Times New Roman" w:hAnsi="Times New Roman" w:cs="Times New Roman"/>
          <w:sz w:val="24"/>
          <w:szCs w:val="24"/>
        </w:rPr>
        <w:t>Oggi,  a</w:t>
      </w:r>
      <w:proofErr w:type="gramEnd"/>
      <w:r w:rsidRPr="00793B6F">
        <w:rPr>
          <w:rFonts w:ascii="Times New Roman" w:hAnsi="Times New Roman" w:cs="Times New Roman"/>
          <w:sz w:val="24"/>
          <w:szCs w:val="24"/>
        </w:rPr>
        <w:t xml:space="preserve"> </w:t>
      </w:r>
      <w:r w:rsidR="00650E01">
        <w:rPr>
          <w:rFonts w:ascii="Times New Roman" w:hAnsi="Times New Roman" w:cs="Times New Roman"/>
          <w:sz w:val="24"/>
          <w:szCs w:val="24"/>
        </w:rPr>
        <w:t xml:space="preserve">oltre </w:t>
      </w:r>
      <w:r w:rsidRPr="00793B6F">
        <w:rPr>
          <w:rFonts w:ascii="Times New Roman" w:hAnsi="Times New Roman" w:cs="Times New Roman"/>
          <w:sz w:val="24"/>
          <w:szCs w:val="24"/>
        </w:rPr>
        <w:t xml:space="preserve">25 anni dalla </w:t>
      </w:r>
      <w:proofErr w:type="gramStart"/>
      <w:r w:rsidRPr="00793B6F">
        <w:rPr>
          <w:rFonts w:ascii="Times New Roman" w:hAnsi="Times New Roman" w:cs="Times New Roman"/>
          <w:sz w:val="24"/>
          <w:szCs w:val="24"/>
        </w:rPr>
        <w:t>liberalizzazione</w:t>
      </w:r>
      <w:r w:rsidR="00650E01">
        <w:rPr>
          <w:rFonts w:ascii="Times New Roman" w:hAnsi="Times New Roman" w:cs="Times New Roman"/>
          <w:sz w:val="24"/>
          <w:szCs w:val="24"/>
        </w:rPr>
        <w:t>,</w:t>
      </w:r>
      <w:r w:rsidRPr="00793B6F">
        <w:rPr>
          <w:rFonts w:ascii="Times New Roman" w:hAnsi="Times New Roman" w:cs="Times New Roman"/>
          <w:sz w:val="24"/>
          <w:szCs w:val="24"/>
        </w:rPr>
        <w:t xml:space="preserve">  il</w:t>
      </w:r>
      <w:proofErr w:type="gramEnd"/>
      <w:r w:rsidRPr="00793B6F">
        <w:rPr>
          <w:rFonts w:ascii="Times New Roman" w:hAnsi="Times New Roman" w:cs="Times New Roman"/>
          <w:sz w:val="24"/>
          <w:szCs w:val="24"/>
        </w:rPr>
        <w:t xml:space="preserve"> mercato si è evoluto raggiungendo un buon livello di competizione. </w:t>
      </w:r>
      <w:proofErr w:type="gramStart"/>
      <w:r w:rsidRPr="00793B6F">
        <w:rPr>
          <w:rFonts w:ascii="Times New Roman" w:hAnsi="Times New Roman" w:cs="Times New Roman"/>
          <w:sz w:val="24"/>
          <w:szCs w:val="24"/>
        </w:rPr>
        <w:t>In particolare</w:t>
      </w:r>
      <w:proofErr w:type="gramEnd"/>
      <w:r w:rsidRPr="00793B6F">
        <w:rPr>
          <w:rFonts w:ascii="Times New Roman" w:hAnsi="Times New Roman" w:cs="Times New Roman"/>
          <w:sz w:val="24"/>
          <w:szCs w:val="24"/>
        </w:rPr>
        <w:t xml:space="preserve"> dall</w:t>
      </w:r>
      <w:r w:rsidR="00283963" w:rsidRPr="00793B6F">
        <w:rPr>
          <w:rFonts w:ascii="Times New Roman" w:hAnsi="Times New Roman" w:cs="Times New Roman"/>
          <w:sz w:val="24"/>
          <w:szCs w:val="24"/>
        </w:rPr>
        <w:t>’</w:t>
      </w:r>
      <w:r w:rsidRPr="00793B6F">
        <w:rPr>
          <w:rFonts w:ascii="Times New Roman" w:hAnsi="Times New Roman" w:cs="Times New Roman"/>
          <w:sz w:val="24"/>
          <w:szCs w:val="24"/>
        </w:rPr>
        <w:t xml:space="preserve"> ultima Relazione Annuale ARERA risultano</w:t>
      </w:r>
      <w:r w:rsidR="00F71D67">
        <w:rPr>
          <w:rFonts w:ascii="Times New Roman" w:hAnsi="Times New Roman" w:cs="Times New Roman"/>
          <w:sz w:val="24"/>
          <w:szCs w:val="24"/>
        </w:rPr>
        <w:t>,</w:t>
      </w:r>
      <w:r w:rsidR="00283963" w:rsidRPr="00793B6F">
        <w:rPr>
          <w:rFonts w:ascii="Times New Roman" w:hAnsi="Times New Roman" w:cs="Times New Roman"/>
          <w:sz w:val="24"/>
          <w:szCs w:val="24"/>
        </w:rPr>
        <w:t xml:space="preserve"> co</w:t>
      </w:r>
      <w:r w:rsidR="00F71D67">
        <w:rPr>
          <w:rFonts w:ascii="Times New Roman" w:hAnsi="Times New Roman" w:cs="Times New Roman"/>
          <w:sz w:val="24"/>
          <w:szCs w:val="24"/>
        </w:rPr>
        <w:t>n</w:t>
      </w:r>
      <w:r w:rsidR="00283963" w:rsidRPr="00793B6F">
        <w:rPr>
          <w:rFonts w:ascii="Times New Roman" w:hAnsi="Times New Roman" w:cs="Times New Roman"/>
          <w:sz w:val="24"/>
          <w:szCs w:val="24"/>
        </w:rPr>
        <w:t xml:space="preserve"> riferimento al mercato dell’energia elettrica</w:t>
      </w:r>
      <w:r w:rsidR="00F71D67">
        <w:rPr>
          <w:rFonts w:ascii="Times New Roman" w:hAnsi="Times New Roman" w:cs="Times New Roman"/>
          <w:sz w:val="24"/>
          <w:szCs w:val="24"/>
        </w:rPr>
        <w:t>,</w:t>
      </w:r>
      <w:r w:rsidRPr="00793B6F">
        <w:rPr>
          <w:rFonts w:ascii="Times New Roman" w:hAnsi="Times New Roman" w:cs="Times New Roman"/>
          <w:sz w:val="24"/>
          <w:szCs w:val="24"/>
        </w:rPr>
        <w:t xml:space="preserve"> 28 operatori di medio-grandi dimensioni, </w:t>
      </w:r>
      <w:r w:rsidR="00302205">
        <w:rPr>
          <w:rFonts w:ascii="Times New Roman" w:hAnsi="Times New Roman" w:cs="Times New Roman"/>
          <w:sz w:val="24"/>
          <w:szCs w:val="24"/>
        </w:rPr>
        <w:t xml:space="preserve">completamente integrati sulla filiera, </w:t>
      </w:r>
      <w:r w:rsidRPr="00793B6F">
        <w:rPr>
          <w:rFonts w:ascii="Times New Roman" w:hAnsi="Times New Roman" w:cs="Times New Roman"/>
          <w:sz w:val="24"/>
          <w:szCs w:val="24"/>
        </w:rPr>
        <w:t>con più di 1 TWh in fornitura nel 202</w:t>
      </w:r>
      <w:r w:rsidR="00131223" w:rsidRPr="00793B6F">
        <w:rPr>
          <w:rFonts w:ascii="Times New Roman" w:hAnsi="Times New Roman" w:cs="Times New Roman"/>
          <w:sz w:val="24"/>
          <w:szCs w:val="24"/>
        </w:rPr>
        <w:t>4</w:t>
      </w:r>
      <w:r w:rsidR="00D94E35">
        <w:rPr>
          <w:rFonts w:ascii="Times New Roman" w:hAnsi="Times New Roman" w:cs="Times New Roman"/>
          <w:sz w:val="24"/>
          <w:szCs w:val="24"/>
        </w:rPr>
        <w:t xml:space="preserve"> e che forniscono complessivamente 192 TW</w:t>
      </w:r>
      <w:r w:rsidR="00BE448C">
        <w:rPr>
          <w:rFonts w:ascii="Times New Roman" w:hAnsi="Times New Roman" w:cs="Times New Roman"/>
          <w:sz w:val="24"/>
          <w:szCs w:val="24"/>
        </w:rPr>
        <w:t>h</w:t>
      </w:r>
      <w:r w:rsidRPr="00793B6F">
        <w:rPr>
          <w:rFonts w:ascii="Times New Roman" w:hAnsi="Times New Roman" w:cs="Times New Roman"/>
          <w:sz w:val="24"/>
          <w:szCs w:val="24"/>
        </w:rPr>
        <w:t xml:space="preserve">. </w:t>
      </w:r>
    </w:p>
    <w:p w14:paraId="60A73802" w14:textId="77777777" w:rsidR="00BB2D01" w:rsidRPr="00793B6F" w:rsidRDefault="00BB2D01" w:rsidP="00793B6F">
      <w:pPr>
        <w:pStyle w:val="Corpotesto"/>
        <w:spacing w:before="21"/>
        <w:rPr>
          <w:rFonts w:ascii="Times New Roman" w:hAnsi="Times New Roman" w:cs="Times New Roman"/>
          <w:sz w:val="24"/>
          <w:szCs w:val="24"/>
        </w:rPr>
      </w:pPr>
    </w:p>
    <w:p w14:paraId="16FDFEE0" w14:textId="77777777" w:rsidR="002E314C" w:rsidRDefault="00AB27DD" w:rsidP="00793B6F">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Tuttavia, va rilevato come oggi </w:t>
      </w:r>
      <w:r w:rsidRPr="00BB2D01">
        <w:rPr>
          <w:rFonts w:ascii="Times New Roman" w:hAnsi="Times New Roman" w:cs="Times New Roman"/>
          <w:b/>
          <w:bCs/>
          <w:sz w:val="24"/>
          <w:szCs w:val="24"/>
        </w:rPr>
        <w:t>l’istituto della controparte commerciale si presta ad un uso</w:t>
      </w:r>
      <w:r w:rsidRPr="00793B6F">
        <w:rPr>
          <w:rFonts w:ascii="Times New Roman" w:hAnsi="Times New Roman" w:cs="Times New Roman"/>
          <w:sz w:val="24"/>
          <w:szCs w:val="24"/>
        </w:rPr>
        <w:t xml:space="preserve"> </w:t>
      </w:r>
      <w:r w:rsidRPr="00BB2D01">
        <w:rPr>
          <w:rFonts w:ascii="Times New Roman" w:hAnsi="Times New Roman" w:cs="Times New Roman"/>
          <w:b/>
          <w:bCs/>
          <w:sz w:val="24"/>
          <w:szCs w:val="24"/>
        </w:rPr>
        <w:t>distorto</w:t>
      </w:r>
      <w:r w:rsidRPr="00793B6F">
        <w:rPr>
          <w:rFonts w:ascii="Times New Roman" w:hAnsi="Times New Roman" w:cs="Times New Roman"/>
          <w:sz w:val="24"/>
          <w:szCs w:val="24"/>
        </w:rPr>
        <w:t xml:space="preserve"> ad opera di soggetti che intendono esclusivamente valorizzare un rapporto commerciale con il cliente e/o iniziative imprenditoriali estemporanee. </w:t>
      </w:r>
    </w:p>
    <w:p w14:paraId="6CFB1F62" w14:textId="77777777" w:rsidR="002E314C" w:rsidRDefault="002E314C" w:rsidP="00793B6F">
      <w:pPr>
        <w:pStyle w:val="Corpotesto"/>
        <w:spacing w:before="21"/>
        <w:rPr>
          <w:rFonts w:ascii="Times New Roman" w:hAnsi="Times New Roman" w:cs="Times New Roman"/>
          <w:sz w:val="24"/>
          <w:szCs w:val="24"/>
        </w:rPr>
      </w:pPr>
    </w:p>
    <w:p w14:paraId="24EA0120" w14:textId="5D49F3FB" w:rsidR="002E314C" w:rsidRPr="000B1870" w:rsidRDefault="00887926" w:rsidP="00793B6F">
      <w:pPr>
        <w:pStyle w:val="Corpotesto"/>
        <w:spacing w:before="21"/>
        <w:rPr>
          <w:rFonts w:ascii="Times New Roman" w:hAnsi="Times New Roman" w:cs="Times New Roman"/>
          <w:i/>
          <w:iCs/>
          <w:sz w:val="24"/>
          <w:szCs w:val="24"/>
          <w:lang w:val="hu-HU"/>
        </w:rPr>
      </w:pPr>
      <w:r>
        <w:rPr>
          <w:rFonts w:ascii="Times New Roman" w:hAnsi="Times New Roman" w:cs="Times New Roman"/>
          <w:sz w:val="24"/>
          <w:szCs w:val="24"/>
        </w:rPr>
        <w:t xml:space="preserve">Con il DCO </w:t>
      </w:r>
      <w:r w:rsidR="000B1870">
        <w:rPr>
          <w:rFonts w:ascii="Times New Roman" w:hAnsi="Times New Roman" w:cs="Times New Roman"/>
          <w:sz w:val="24"/>
          <w:szCs w:val="24"/>
        </w:rPr>
        <w:t>1</w:t>
      </w:r>
      <w:r w:rsidR="000B1870" w:rsidRPr="000B1870">
        <w:rPr>
          <w:rFonts w:ascii="Times New Roman" w:hAnsi="Times New Roman" w:cs="Times New Roman"/>
          <w:sz w:val="24"/>
          <w:szCs w:val="24"/>
          <w:lang w:val="hu-HU"/>
        </w:rPr>
        <w:t>73/2025/R/COM</w:t>
      </w:r>
      <w:r w:rsidR="000B1870">
        <w:rPr>
          <w:rFonts w:ascii="Times New Roman" w:hAnsi="Times New Roman" w:cs="Times New Roman"/>
          <w:sz w:val="24"/>
          <w:szCs w:val="24"/>
          <w:lang w:val="hu-HU"/>
        </w:rPr>
        <w:t xml:space="preserve"> sono stati pubblicati i seguenti dati</w:t>
      </w:r>
      <w:proofErr w:type="gramStart"/>
      <w:r w:rsidR="000B1870">
        <w:rPr>
          <w:rFonts w:ascii="Times New Roman" w:hAnsi="Times New Roman" w:cs="Times New Roman"/>
          <w:sz w:val="24"/>
          <w:szCs w:val="24"/>
          <w:lang w:val="hu-HU"/>
        </w:rPr>
        <w:t>: ”</w:t>
      </w:r>
      <w:r w:rsidR="002E314C" w:rsidRPr="000B1870">
        <w:rPr>
          <w:rFonts w:ascii="Times New Roman" w:hAnsi="Times New Roman" w:cs="Times New Roman"/>
          <w:i/>
          <w:iCs/>
          <w:sz w:val="24"/>
          <w:szCs w:val="24"/>
          <w:lang w:val="hu-HU"/>
        </w:rPr>
        <w:t>Ad</w:t>
      </w:r>
      <w:proofErr w:type="gramEnd"/>
      <w:r w:rsidR="002E314C" w:rsidRPr="000B1870">
        <w:rPr>
          <w:rFonts w:ascii="Times New Roman" w:hAnsi="Times New Roman" w:cs="Times New Roman"/>
          <w:i/>
          <w:iCs/>
          <w:sz w:val="24"/>
          <w:szCs w:val="24"/>
          <w:lang w:val="hu-HU"/>
        </w:rPr>
        <w:t xml:space="preserve"> oggi risultano accreditati al SII circa 630 soggetti in qualità di controparte commerciale nel settore elettrico, </w:t>
      </w:r>
      <w:r w:rsidR="002E314C" w:rsidRPr="000B1870">
        <w:rPr>
          <w:rFonts w:ascii="Times New Roman" w:hAnsi="Times New Roman" w:cs="Times New Roman"/>
          <w:b/>
          <w:bCs/>
          <w:i/>
          <w:iCs/>
          <w:sz w:val="24"/>
          <w:szCs w:val="24"/>
          <w:lang w:val="hu-HU"/>
        </w:rPr>
        <w:t>390 dei quali svolgono esclusivamente tale ruolo nella filiera commerciale (non sono anche UdD</w:t>
      </w:r>
      <w:r w:rsidR="002E314C" w:rsidRPr="000B1870">
        <w:rPr>
          <w:rFonts w:ascii="Times New Roman" w:hAnsi="Times New Roman" w:cs="Times New Roman"/>
          <w:i/>
          <w:iCs/>
          <w:sz w:val="24"/>
          <w:szCs w:val="24"/>
          <w:lang w:val="hu-HU"/>
        </w:rPr>
        <w:t>). Per quanto riguarda il settore del gas naturale le controparti commerciali accreditate sono circa 510 e 300 non hanno altri ruoli</w:t>
      </w:r>
      <w:r w:rsidR="000B1870" w:rsidRPr="000B1870">
        <w:rPr>
          <w:rFonts w:ascii="Times New Roman" w:hAnsi="Times New Roman" w:cs="Times New Roman"/>
          <w:i/>
          <w:iCs/>
          <w:sz w:val="24"/>
          <w:szCs w:val="24"/>
          <w:lang w:val="hu-HU"/>
        </w:rPr>
        <w:t>”</w:t>
      </w:r>
    </w:p>
    <w:p w14:paraId="459B976A" w14:textId="77777777" w:rsidR="002E314C" w:rsidRDefault="002E314C" w:rsidP="00793B6F">
      <w:pPr>
        <w:pStyle w:val="Corpotesto"/>
        <w:spacing w:before="21"/>
        <w:rPr>
          <w:rFonts w:ascii="Times New Roman" w:hAnsi="Times New Roman" w:cs="Times New Roman"/>
          <w:sz w:val="24"/>
          <w:szCs w:val="24"/>
        </w:rPr>
      </w:pPr>
    </w:p>
    <w:p w14:paraId="1159586A" w14:textId="7A22F5EC" w:rsidR="00AB27DD" w:rsidRDefault="00AB27DD" w:rsidP="00793B6F">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lastRenderedPageBreak/>
        <w:t xml:space="preserve">Si tratta di operatori che </w:t>
      </w:r>
      <w:r w:rsidR="000B1870">
        <w:rPr>
          <w:rFonts w:ascii="Times New Roman" w:hAnsi="Times New Roman" w:cs="Times New Roman"/>
          <w:sz w:val="24"/>
          <w:szCs w:val="24"/>
        </w:rPr>
        <w:t xml:space="preserve">in molti casi </w:t>
      </w:r>
      <w:r w:rsidRPr="00793B6F">
        <w:rPr>
          <w:rFonts w:ascii="Times New Roman" w:hAnsi="Times New Roman" w:cs="Times New Roman"/>
          <w:sz w:val="24"/>
          <w:szCs w:val="24"/>
        </w:rPr>
        <w:t>si limitano a ad applicare un markup a valle della filiera senza portare alcun beneficio al mercato. Operatori con bassa patrimonialità, tale da non riuscire a gestire le esposizioni finanziarie del dispacciamento</w:t>
      </w:r>
      <w:r w:rsidR="00BA6444" w:rsidRPr="00793B6F">
        <w:rPr>
          <w:rFonts w:ascii="Times New Roman" w:hAnsi="Times New Roman" w:cs="Times New Roman"/>
          <w:sz w:val="24"/>
          <w:szCs w:val="24"/>
        </w:rPr>
        <w:t xml:space="preserve">, prive dei requisiti </w:t>
      </w:r>
      <w:r w:rsidR="00C86000" w:rsidRPr="00793B6F">
        <w:rPr>
          <w:rFonts w:ascii="Times New Roman" w:hAnsi="Times New Roman" w:cs="Times New Roman"/>
          <w:sz w:val="24"/>
          <w:szCs w:val="24"/>
        </w:rPr>
        <w:t>necessari per stipulare i contratti di dispacciamento o trasporto</w:t>
      </w:r>
      <w:r w:rsidRPr="00793B6F">
        <w:rPr>
          <w:rFonts w:ascii="Times New Roman" w:hAnsi="Times New Roman" w:cs="Times New Roman"/>
          <w:sz w:val="24"/>
          <w:szCs w:val="24"/>
        </w:rPr>
        <w:t xml:space="preserve"> e prive delle relative competenze per la gestione e ottimizzazione di portafogli ampi. </w:t>
      </w:r>
      <w:r w:rsidR="00F22B48" w:rsidRPr="00793B6F">
        <w:rPr>
          <w:rFonts w:ascii="Times New Roman" w:hAnsi="Times New Roman" w:cs="Times New Roman"/>
          <w:sz w:val="24"/>
          <w:szCs w:val="24"/>
        </w:rPr>
        <w:t>In molti casi si tratta di mere</w:t>
      </w:r>
      <w:r w:rsidRPr="00793B6F">
        <w:rPr>
          <w:rFonts w:ascii="Times New Roman" w:hAnsi="Times New Roman" w:cs="Times New Roman"/>
          <w:sz w:val="24"/>
          <w:szCs w:val="24"/>
        </w:rPr>
        <w:t xml:space="preserve"> agenzie di vendita che si abilitano come società di vendita e controparti commerciali</w:t>
      </w:r>
      <w:r w:rsidR="00BB2D01">
        <w:rPr>
          <w:rFonts w:ascii="Times New Roman" w:hAnsi="Times New Roman" w:cs="Times New Roman"/>
          <w:sz w:val="24"/>
          <w:szCs w:val="24"/>
        </w:rPr>
        <w:t>.</w:t>
      </w:r>
    </w:p>
    <w:p w14:paraId="380B0218" w14:textId="77777777" w:rsidR="00BB2D01" w:rsidRPr="00793B6F" w:rsidRDefault="00BB2D01" w:rsidP="00793B6F">
      <w:pPr>
        <w:pStyle w:val="Corpotesto"/>
        <w:spacing w:before="21"/>
        <w:rPr>
          <w:rFonts w:ascii="Times New Roman" w:hAnsi="Times New Roman" w:cs="Times New Roman"/>
          <w:sz w:val="24"/>
          <w:szCs w:val="24"/>
        </w:rPr>
      </w:pPr>
    </w:p>
    <w:p w14:paraId="4A2FCFE5" w14:textId="66B9F7D2" w:rsidR="00692150" w:rsidRDefault="00AB27DD" w:rsidP="00793B6F">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Ciò ha determinato un aumento di operatori di piccole dimensioni: al 202</w:t>
      </w:r>
      <w:r w:rsidR="00472202" w:rsidRPr="00793B6F">
        <w:rPr>
          <w:rFonts w:ascii="Times New Roman" w:hAnsi="Times New Roman" w:cs="Times New Roman"/>
          <w:sz w:val="24"/>
          <w:szCs w:val="24"/>
        </w:rPr>
        <w:t>4</w:t>
      </w:r>
      <w:r w:rsidRPr="00793B6F">
        <w:rPr>
          <w:rFonts w:ascii="Times New Roman" w:hAnsi="Times New Roman" w:cs="Times New Roman"/>
          <w:sz w:val="24"/>
          <w:szCs w:val="24"/>
        </w:rPr>
        <w:t xml:space="preserve"> risultano </w:t>
      </w:r>
      <w:r w:rsidR="00472202" w:rsidRPr="00D8516B">
        <w:rPr>
          <w:rFonts w:ascii="Times New Roman" w:hAnsi="Times New Roman" w:cs="Times New Roman"/>
          <w:b/>
          <w:bCs/>
          <w:sz w:val="24"/>
          <w:szCs w:val="24"/>
        </w:rPr>
        <w:t>516</w:t>
      </w:r>
      <w:r w:rsidRPr="00D8516B">
        <w:rPr>
          <w:rFonts w:ascii="Times New Roman" w:hAnsi="Times New Roman" w:cs="Times New Roman"/>
          <w:b/>
          <w:bCs/>
          <w:sz w:val="24"/>
          <w:szCs w:val="24"/>
        </w:rPr>
        <w:t xml:space="preserve"> operatori che vendono meno di 1 TWh</w:t>
      </w:r>
      <w:r w:rsidRPr="00793B6F">
        <w:rPr>
          <w:rFonts w:ascii="Times New Roman" w:hAnsi="Times New Roman" w:cs="Times New Roman"/>
          <w:sz w:val="24"/>
          <w:szCs w:val="24"/>
        </w:rPr>
        <w:t xml:space="preserve"> </w:t>
      </w:r>
      <w:r w:rsidR="00C47A36">
        <w:rPr>
          <w:rFonts w:ascii="Times New Roman" w:hAnsi="Times New Roman" w:cs="Times New Roman"/>
          <w:sz w:val="24"/>
          <w:szCs w:val="24"/>
        </w:rPr>
        <w:t xml:space="preserve">(di cui 432 vendono meno di 0,1 TWh) </w:t>
      </w:r>
      <w:r w:rsidRPr="00793B6F">
        <w:rPr>
          <w:rFonts w:ascii="Times New Roman" w:hAnsi="Times New Roman" w:cs="Times New Roman"/>
          <w:sz w:val="24"/>
          <w:szCs w:val="24"/>
        </w:rPr>
        <w:t xml:space="preserve">e un volume complessivo di </w:t>
      </w:r>
      <w:r w:rsidR="001478A6" w:rsidRPr="00793B6F">
        <w:rPr>
          <w:rFonts w:ascii="Times New Roman" w:hAnsi="Times New Roman" w:cs="Times New Roman"/>
          <w:sz w:val="24"/>
          <w:szCs w:val="24"/>
        </w:rPr>
        <w:t>32,4 TWh</w:t>
      </w:r>
      <w:r w:rsidRPr="00793B6F">
        <w:rPr>
          <w:rFonts w:ascii="Times New Roman" w:hAnsi="Times New Roman" w:cs="Times New Roman"/>
          <w:sz w:val="24"/>
          <w:szCs w:val="24"/>
        </w:rPr>
        <w:t>.</w:t>
      </w:r>
      <w:r w:rsidR="0025667D" w:rsidRPr="00793B6F">
        <w:rPr>
          <w:rFonts w:ascii="Times New Roman" w:hAnsi="Times New Roman" w:cs="Times New Roman"/>
          <w:sz w:val="24"/>
          <w:szCs w:val="24"/>
        </w:rPr>
        <w:t xml:space="preserve"> </w:t>
      </w:r>
    </w:p>
    <w:p w14:paraId="75B32450" w14:textId="77777777" w:rsidR="00692150" w:rsidRDefault="00692150" w:rsidP="00793B6F">
      <w:pPr>
        <w:pStyle w:val="Corpotesto"/>
        <w:spacing w:before="21"/>
        <w:rPr>
          <w:rFonts w:ascii="Times New Roman" w:hAnsi="Times New Roman" w:cs="Times New Roman"/>
          <w:sz w:val="24"/>
          <w:szCs w:val="24"/>
        </w:rPr>
      </w:pPr>
    </w:p>
    <w:p w14:paraId="00176297" w14:textId="77777777" w:rsidR="00692150" w:rsidRPr="00793B6F" w:rsidRDefault="00692150" w:rsidP="00692150">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La crescita virtuosa di un operatore dovrebbe vedere come passi successivi l’integrazione sulla filiera: la sottoscrizione del contratto di dispacciamento, l’azione sulle piattaforme di approvvigionamento e l’acquisizione di asset di produzione. Asset e competenze queste che consentono di competere sul mercato portando il miglior prezzo ai clienti finali.</w:t>
      </w:r>
    </w:p>
    <w:p w14:paraId="1C2DEF4F" w14:textId="77777777" w:rsidR="00692150" w:rsidRDefault="00692150" w:rsidP="00692150">
      <w:pPr>
        <w:pStyle w:val="Corpotesto"/>
        <w:spacing w:before="21"/>
        <w:rPr>
          <w:rFonts w:ascii="Times New Roman" w:hAnsi="Times New Roman" w:cs="Times New Roman"/>
          <w:sz w:val="24"/>
          <w:szCs w:val="24"/>
        </w:rPr>
      </w:pPr>
    </w:p>
    <w:p w14:paraId="0654CB10" w14:textId="32E64DB2" w:rsidR="00EA78EC" w:rsidRDefault="00911BC1" w:rsidP="00793B6F">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Molti d</w:t>
      </w:r>
      <w:r w:rsidR="00692150">
        <w:rPr>
          <w:rFonts w:ascii="Times New Roman" w:hAnsi="Times New Roman" w:cs="Times New Roman"/>
          <w:sz w:val="24"/>
          <w:szCs w:val="24"/>
        </w:rPr>
        <w:t>i queste controparti commerciali invece restano</w:t>
      </w:r>
      <w:r w:rsidR="00EA78EC" w:rsidRPr="00793B6F">
        <w:rPr>
          <w:rFonts w:ascii="Times New Roman" w:hAnsi="Times New Roman" w:cs="Times New Roman"/>
          <w:sz w:val="24"/>
          <w:szCs w:val="24"/>
        </w:rPr>
        <w:t xml:space="preserve"> non integrati</w:t>
      </w:r>
      <w:r w:rsidR="00BE52A0">
        <w:rPr>
          <w:rFonts w:ascii="Times New Roman" w:hAnsi="Times New Roman" w:cs="Times New Roman"/>
          <w:sz w:val="24"/>
          <w:szCs w:val="24"/>
        </w:rPr>
        <w:t>,</w:t>
      </w:r>
      <w:r w:rsidR="00EA78EC" w:rsidRPr="00793B6F">
        <w:rPr>
          <w:rFonts w:ascii="Times New Roman" w:hAnsi="Times New Roman" w:cs="Times New Roman"/>
          <w:sz w:val="24"/>
          <w:szCs w:val="24"/>
        </w:rPr>
        <w:t xml:space="preserve"> con base cliente ridotta </w:t>
      </w:r>
      <w:r w:rsidR="00BE52A0">
        <w:rPr>
          <w:rFonts w:ascii="Times New Roman" w:hAnsi="Times New Roman" w:cs="Times New Roman"/>
          <w:sz w:val="24"/>
          <w:szCs w:val="24"/>
        </w:rPr>
        <w:t xml:space="preserve">e </w:t>
      </w:r>
      <w:r w:rsidR="00EA78EC" w:rsidRPr="00793B6F">
        <w:rPr>
          <w:rFonts w:ascii="Times New Roman" w:hAnsi="Times New Roman" w:cs="Times New Roman"/>
          <w:sz w:val="24"/>
          <w:szCs w:val="24"/>
        </w:rPr>
        <w:t xml:space="preserve">non generano valore aggiunto sulla filiera non essendo in grado di cogliere le opportunità del mercato </w:t>
      </w:r>
      <w:r w:rsidR="00E34084" w:rsidRPr="00793B6F">
        <w:rPr>
          <w:rFonts w:ascii="Times New Roman" w:hAnsi="Times New Roman" w:cs="Times New Roman"/>
          <w:sz w:val="24"/>
          <w:szCs w:val="24"/>
        </w:rPr>
        <w:t>nel suo complesso</w:t>
      </w:r>
      <w:r w:rsidR="00EA78EC" w:rsidRPr="00793B6F">
        <w:rPr>
          <w:rFonts w:ascii="Times New Roman" w:hAnsi="Times New Roman" w:cs="Times New Roman"/>
          <w:sz w:val="24"/>
          <w:szCs w:val="24"/>
        </w:rPr>
        <w:t xml:space="preserve"> quali a titolo esemplificativo la diversificazione degli approvvigionamenti, il trading, le ottimizzazioni di portafoglio, le economie di scala. </w:t>
      </w:r>
    </w:p>
    <w:p w14:paraId="0031BB1C" w14:textId="77777777" w:rsidR="00BB2D01" w:rsidRPr="00793B6F" w:rsidRDefault="00BB2D01" w:rsidP="00793B6F">
      <w:pPr>
        <w:pStyle w:val="Corpotesto"/>
        <w:spacing w:before="21"/>
        <w:rPr>
          <w:rFonts w:ascii="Times New Roman" w:hAnsi="Times New Roman" w:cs="Times New Roman"/>
          <w:sz w:val="24"/>
          <w:szCs w:val="24"/>
        </w:rPr>
      </w:pPr>
    </w:p>
    <w:p w14:paraId="7DFEE7CC" w14:textId="124F2C46" w:rsidR="00EA78EC" w:rsidRDefault="00EA78EC" w:rsidP="00793B6F">
      <w:pPr>
        <w:pStyle w:val="Corpotesto"/>
        <w:spacing w:before="21"/>
        <w:rPr>
          <w:rFonts w:ascii="Times New Roman" w:hAnsi="Times New Roman" w:cs="Times New Roman"/>
          <w:b/>
          <w:bCs/>
          <w:sz w:val="24"/>
          <w:szCs w:val="24"/>
        </w:rPr>
      </w:pPr>
      <w:r w:rsidRPr="00793B6F">
        <w:rPr>
          <w:rFonts w:ascii="Times New Roman" w:hAnsi="Times New Roman" w:cs="Times New Roman"/>
          <w:sz w:val="24"/>
          <w:szCs w:val="24"/>
        </w:rPr>
        <w:t xml:space="preserve">Di contro </w:t>
      </w:r>
      <w:r w:rsidR="006865C1">
        <w:rPr>
          <w:rFonts w:ascii="Times New Roman" w:hAnsi="Times New Roman" w:cs="Times New Roman"/>
          <w:sz w:val="24"/>
          <w:szCs w:val="24"/>
        </w:rPr>
        <w:t xml:space="preserve">si </w:t>
      </w:r>
      <w:r w:rsidRPr="00793B6F">
        <w:rPr>
          <w:rFonts w:ascii="Times New Roman" w:hAnsi="Times New Roman" w:cs="Times New Roman"/>
          <w:sz w:val="24"/>
          <w:szCs w:val="24"/>
        </w:rPr>
        <w:t xml:space="preserve">creano </w:t>
      </w:r>
      <w:r w:rsidRPr="00BF0EA4">
        <w:rPr>
          <w:rFonts w:ascii="Times New Roman" w:hAnsi="Times New Roman" w:cs="Times New Roman"/>
          <w:b/>
          <w:bCs/>
          <w:sz w:val="24"/>
          <w:szCs w:val="24"/>
        </w:rPr>
        <w:t xml:space="preserve">distorsioni di mercato: pratiche commerciali scorrette, aggressività commerciale, </w:t>
      </w:r>
      <w:r w:rsidR="005F6671">
        <w:rPr>
          <w:rFonts w:ascii="Times New Roman" w:hAnsi="Times New Roman" w:cs="Times New Roman"/>
          <w:b/>
          <w:bCs/>
          <w:sz w:val="24"/>
          <w:szCs w:val="24"/>
        </w:rPr>
        <w:t>uso improprio</w:t>
      </w:r>
      <w:r w:rsidRPr="00BF0EA4">
        <w:rPr>
          <w:rFonts w:ascii="Times New Roman" w:hAnsi="Times New Roman" w:cs="Times New Roman"/>
          <w:b/>
          <w:bCs/>
          <w:sz w:val="24"/>
          <w:szCs w:val="24"/>
        </w:rPr>
        <w:t xml:space="preserve"> di call center, commercio di database e scarsa compliance regolatoria. </w:t>
      </w:r>
      <w:r w:rsidR="00BF0EA4">
        <w:rPr>
          <w:rFonts w:ascii="Times New Roman" w:hAnsi="Times New Roman" w:cs="Times New Roman"/>
          <w:b/>
          <w:bCs/>
          <w:sz w:val="24"/>
          <w:szCs w:val="24"/>
        </w:rPr>
        <w:t>Si tratta di comportamenti che è più facile trovare in operatori poco strutturati e di minore dimensione</w:t>
      </w:r>
      <w:r w:rsidR="0075569C">
        <w:rPr>
          <w:rFonts w:ascii="Times New Roman" w:hAnsi="Times New Roman" w:cs="Times New Roman"/>
          <w:b/>
          <w:bCs/>
          <w:sz w:val="24"/>
          <w:szCs w:val="24"/>
        </w:rPr>
        <w:t>.</w:t>
      </w:r>
    </w:p>
    <w:p w14:paraId="634941F0" w14:textId="77777777" w:rsidR="00BF0EA4" w:rsidRPr="00BF0EA4" w:rsidRDefault="00BF0EA4" w:rsidP="00793B6F">
      <w:pPr>
        <w:pStyle w:val="Corpotesto"/>
        <w:spacing w:before="21"/>
        <w:rPr>
          <w:rFonts w:ascii="Times New Roman" w:hAnsi="Times New Roman" w:cs="Times New Roman"/>
          <w:b/>
          <w:bCs/>
          <w:sz w:val="24"/>
          <w:szCs w:val="24"/>
        </w:rPr>
      </w:pPr>
    </w:p>
    <w:p w14:paraId="370F65C9" w14:textId="188D4CF9" w:rsidR="00EA78EC" w:rsidRDefault="00EA78EC" w:rsidP="00793B6F">
      <w:pPr>
        <w:pStyle w:val="Corpotesto"/>
        <w:spacing w:before="21"/>
        <w:rPr>
          <w:rFonts w:ascii="Times New Roman" w:hAnsi="Times New Roman" w:cs="Times New Roman"/>
          <w:sz w:val="24"/>
          <w:szCs w:val="24"/>
        </w:rPr>
      </w:pPr>
      <w:proofErr w:type="gramStart"/>
      <w:r w:rsidRPr="00793B6F">
        <w:rPr>
          <w:rFonts w:ascii="Times New Roman" w:hAnsi="Times New Roman" w:cs="Times New Roman"/>
          <w:sz w:val="24"/>
          <w:szCs w:val="24"/>
        </w:rPr>
        <w:t>Inoltre</w:t>
      </w:r>
      <w:proofErr w:type="gramEnd"/>
      <w:r w:rsidRPr="00793B6F">
        <w:rPr>
          <w:rFonts w:ascii="Times New Roman" w:hAnsi="Times New Roman" w:cs="Times New Roman"/>
          <w:sz w:val="24"/>
          <w:szCs w:val="24"/>
        </w:rPr>
        <w:t xml:space="preserve"> la scarsa patrimonialità genera un rischio sulla filiera e conseguentemente sugli oneri di sistema in caso di default. Tali operatori non vengono attratti infatti nei meccanismi di garanzia, rating e patrimonialità richiesti dal contratto di dispacciamento e incrementati negli anni proprio per garantire l’affidabilità degli operatori</w:t>
      </w:r>
      <w:r w:rsidR="008C5A52">
        <w:rPr>
          <w:rFonts w:ascii="Times New Roman" w:hAnsi="Times New Roman" w:cs="Times New Roman"/>
          <w:sz w:val="24"/>
          <w:szCs w:val="24"/>
        </w:rPr>
        <w:t xml:space="preserve"> e ridurre gli impatti della morosità sugli oneri socializzati</w:t>
      </w:r>
      <w:r w:rsidRPr="00793B6F">
        <w:rPr>
          <w:rFonts w:ascii="Times New Roman" w:hAnsi="Times New Roman" w:cs="Times New Roman"/>
          <w:sz w:val="24"/>
          <w:szCs w:val="24"/>
        </w:rPr>
        <w:t xml:space="preserve">. </w:t>
      </w:r>
    </w:p>
    <w:p w14:paraId="40B5B35E" w14:textId="77777777" w:rsidR="00420FCE" w:rsidRPr="00793B6F" w:rsidRDefault="00420FCE" w:rsidP="00793B6F">
      <w:pPr>
        <w:pStyle w:val="Corpotesto"/>
        <w:spacing w:before="21"/>
        <w:rPr>
          <w:rFonts w:ascii="Times New Roman" w:hAnsi="Times New Roman" w:cs="Times New Roman"/>
          <w:sz w:val="24"/>
          <w:szCs w:val="24"/>
        </w:rPr>
      </w:pPr>
    </w:p>
    <w:p w14:paraId="05DF11F4" w14:textId="6E956E75" w:rsidR="006565CC" w:rsidRPr="00793B6F" w:rsidRDefault="00EA78EC" w:rsidP="006565CC">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Si segnala infine che in un quadro regolatorio europeo non ci risulta la presenza di tale configurazione in altri mercati UE. </w:t>
      </w:r>
      <w:proofErr w:type="gramStart"/>
      <w:r w:rsidR="00420FCE">
        <w:rPr>
          <w:rFonts w:ascii="Times New Roman" w:hAnsi="Times New Roman" w:cs="Times New Roman"/>
          <w:sz w:val="24"/>
          <w:szCs w:val="24"/>
        </w:rPr>
        <w:t>Inoltre</w:t>
      </w:r>
      <w:proofErr w:type="gramEnd"/>
      <w:r w:rsidR="00420FCE">
        <w:rPr>
          <w:rFonts w:ascii="Times New Roman" w:hAnsi="Times New Roman" w:cs="Times New Roman"/>
          <w:sz w:val="24"/>
          <w:szCs w:val="24"/>
        </w:rPr>
        <w:t xml:space="preserve"> l</w:t>
      </w:r>
      <w:r w:rsidR="006565CC" w:rsidRPr="00793B6F">
        <w:rPr>
          <w:rFonts w:ascii="Times New Roman" w:hAnsi="Times New Roman" w:cs="Times New Roman"/>
          <w:sz w:val="24"/>
          <w:szCs w:val="24"/>
        </w:rPr>
        <w:t>a Commissione Europea in una sua recente raccomandazione</w:t>
      </w:r>
      <w:r w:rsidR="00420FCE">
        <w:rPr>
          <w:rStyle w:val="Rimandonotaapidipagina"/>
          <w:rFonts w:ascii="Times New Roman" w:hAnsi="Times New Roman" w:cs="Times New Roman"/>
          <w:sz w:val="24"/>
          <w:szCs w:val="24"/>
        </w:rPr>
        <w:footnoteReference w:id="2"/>
      </w:r>
      <w:r w:rsidR="006565CC" w:rsidRPr="00793B6F">
        <w:rPr>
          <w:rFonts w:ascii="Times New Roman" w:hAnsi="Times New Roman" w:cs="Times New Roman"/>
          <w:sz w:val="24"/>
          <w:szCs w:val="24"/>
        </w:rPr>
        <w:t xml:space="preserve"> ha richiamato l’attenzione </w:t>
      </w:r>
      <w:r w:rsidR="00420FCE">
        <w:rPr>
          <w:rFonts w:ascii="Times New Roman" w:hAnsi="Times New Roman" w:cs="Times New Roman"/>
          <w:sz w:val="24"/>
          <w:szCs w:val="24"/>
        </w:rPr>
        <w:t>proprio su</w:t>
      </w:r>
      <w:r w:rsidR="006565CC" w:rsidRPr="00793B6F">
        <w:rPr>
          <w:rFonts w:ascii="Times New Roman" w:hAnsi="Times New Roman" w:cs="Times New Roman"/>
          <w:sz w:val="24"/>
          <w:szCs w:val="24"/>
        </w:rPr>
        <w:t xml:space="preserve">ll’importanza delle caratteristiche delle società di vendita in termini di </w:t>
      </w:r>
      <w:r w:rsidR="006565CC" w:rsidRPr="00420FCE">
        <w:rPr>
          <w:rFonts w:ascii="Times New Roman" w:hAnsi="Times New Roman" w:cs="Times New Roman"/>
          <w:b/>
          <w:bCs/>
          <w:sz w:val="24"/>
          <w:szCs w:val="24"/>
        </w:rPr>
        <w:t>capitalizzazione</w:t>
      </w:r>
      <w:r w:rsidR="006565CC" w:rsidRPr="00793B6F">
        <w:rPr>
          <w:rFonts w:ascii="Times New Roman" w:hAnsi="Times New Roman" w:cs="Times New Roman"/>
          <w:sz w:val="24"/>
          <w:szCs w:val="24"/>
        </w:rPr>
        <w:t xml:space="preserve"> e capacità di copertura e approvvigionamento. </w:t>
      </w:r>
    </w:p>
    <w:p w14:paraId="46943B69" w14:textId="77777777" w:rsidR="000C561D" w:rsidRPr="00793B6F" w:rsidRDefault="000C561D" w:rsidP="006565CC">
      <w:pPr>
        <w:pStyle w:val="Corpotesto"/>
        <w:spacing w:before="21"/>
        <w:rPr>
          <w:rFonts w:ascii="Times New Roman" w:hAnsi="Times New Roman" w:cs="Times New Roman"/>
          <w:spacing w:val="-5"/>
          <w:w w:val="105"/>
          <w:sz w:val="24"/>
          <w:szCs w:val="24"/>
        </w:rPr>
      </w:pPr>
    </w:p>
    <w:p w14:paraId="099D5402" w14:textId="77777777" w:rsidR="000C561D" w:rsidRPr="00793B6F" w:rsidRDefault="00EA78EC" w:rsidP="000C561D">
      <w:pPr>
        <w:pStyle w:val="Corpotesto"/>
        <w:spacing w:before="21"/>
        <w:rPr>
          <w:rFonts w:ascii="Times New Roman" w:hAnsi="Times New Roman" w:cs="Times New Roman"/>
          <w:b/>
          <w:bCs/>
          <w:sz w:val="24"/>
          <w:szCs w:val="24"/>
        </w:rPr>
      </w:pPr>
      <w:r w:rsidRPr="00793B6F">
        <w:rPr>
          <w:rFonts w:ascii="Times New Roman" w:hAnsi="Times New Roman" w:cs="Times New Roman"/>
          <w:b/>
          <w:bCs/>
          <w:sz w:val="24"/>
          <w:szCs w:val="24"/>
        </w:rPr>
        <w:t>Alla luce di quanto sopra esposto si propone la rimozione dell’istituto regolatorio della controparte commerciale distinta dall’utente del dispacciamento ammettendo al SII esclusivamente controparti commerciali titolari anche di contratto di dispacciamento</w:t>
      </w:r>
      <w:r w:rsidR="00DE282F" w:rsidRPr="00793B6F">
        <w:rPr>
          <w:rFonts w:ascii="Times New Roman" w:hAnsi="Times New Roman" w:cs="Times New Roman"/>
          <w:b/>
          <w:bCs/>
          <w:sz w:val="24"/>
          <w:szCs w:val="24"/>
        </w:rPr>
        <w:t xml:space="preserve"> </w:t>
      </w:r>
      <w:r w:rsidR="00DE282F" w:rsidRPr="00793B6F">
        <w:rPr>
          <w:rFonts w:ascii="Times New Roman" w:hAnsi="Times New Roman" w:cs="Times New Roman"/>
          <w:b/>
          <w:w w:val="110"/>
          <w:sz w:val="24"/>
          <w:szCs w:val="24"/>
        </w:rPr>
        <w:t xml:space="preserve">direttamente o tramite società del proprio gruppo. </w:t>
      </w:r>
      <w:r w:rsidR="00DE282F" w:rsidRPr="00793B6F">
        <w:rPr>
          <w:rFonts w:ascii="Times New Roman" w:hAnsi="Times New Roman" w:cs="Times New Roman"/>
          <w:bCs/>
          <w:w w:val="110"/>
          <w:sz w:val="24"/>
          <w:szCs w:val="24"/>
        </w:rPr>
        <w:t xml:space="preserve">La controparte commerciale distinta dall’utente del dispacciamento potrebbe essere ammessa solo per un </w:t>
      </w:r>
      <w:r w:rsidR="00DE282F" w:rsidRPr="00840B23">
        <w:rPr>
          <w:rFonts w:ascii="Times New Roman" w:hAnsi="Times New Roman" w:cs="Times New Roman"/>
          <w:b/>
          <w:w w:val="110"/>
          <w:sz w:val="24"/>
          <w:szCs w:val="24"/>
        </w:rPr>
        <w:t>periodo di tempo limitato</w:t>
      </w:r>
      <w:r w:rsidR="00DE282F" w:rsidRPr="00793B6F">
        <w:rPr>
          <w:rFonts w:ascii="Times New Roman" w:hAnsi="Times New Roman" w:cs="Times New Roman"/>
          <w:bCs/>
          <w:w w:val="110"/>
          <w:sz w:val="24"/>
          <w:szCs w:val="24"/>
        </w:rPr>
        <w:t xml:space="preserve"> al fine di consentire l’avvio di nuovi operatori e la successiva integrazione sulla filiera</w:t>
      </w:r>
      <w:r w:rsidRPr="00793B6F">
        <w:rPr>
          <w:rFonts w:ascii="Times New Roman" w:hAnsi="Times New Roman" w:cs="Times New Roman"/>
          <w:b/>
          <w:bCs/>
          <w:sz w:val="24"/>
          <w:szCs w:val="24"/>
        </w:rPr>
        <w:t xml:space="preserve">. </w:t>
      </w:r>
    </w:p>
    <w:p w14:paraId="3EFC122C" w14:textId="77777777" w:rsidR="000C561D" w:rsidRDefault="000C561D" w:rsidP="000C561D">
      <w:pPr>
        <w:pStyle w:val="Corpotesto"/>
        <w:spacing w:before="21"/>
        <w:rPr>
          <w:rFonts w:ascii="Times New Roman" w:hAnsi="Times New Roman" w:cs="Times New Roman"/>
          <w:b/>
          <w:bCs/>
          <w:sz w:val="24"/>
          <w:szCs w:val="24"/>
        </w:rPr>
      </w:pPr>
    </w:p>
    <w:p w14:paraId="38CB38B5" w14:textId="77777777" w:rsidR="00E80497" w:rsidRDefault="00E80497" w:rsidP="000C561D">
      <w:pPr>
        <w:pStyle w:val="Corpotesto"/>
        <w:spacing w:before="21"/>
        <w:rPr>
          <w:rFonts w:ascii="Times New Roman" w:hAnsi="Times New Roman" w:cs="Times New Roman"/>
          <w:b/>
          <w:bCs/>
          <w:sz w:val="24"/>
          <w:szCs w:val="24"/>
        </w:rPr>
      </w:pPr>
    </w:p>
    <w:p w14:paraId="5129B302" w14:textId="77777777" w:rsidR="00E80497" w:rsidRDefault="00E80497" w:rsidP="000C561D">
      <w:pPr>
        <w:pStyle w:val="Corpotesto"/>
        <w:spacing w:before="21"/>
        <w:rPr>
          <w:rFonts w:ascii="Times New Roman" w:hAnsi="Times New Roman" w:cs="Times New Roman"/>
          <w:b/>
          <w:bCs/>
          <w:sz w:val="24"/>
          <w:szCs w:val="24"/>
        </w:rPr>
      </w:pPr>
    </w:p>
    <w:p w14:paraId="7432512C" w14:textId="77777777" w:rsidR="00E80497" w:rsidRPr="00793B6F" w:rsidRDefault="00E80497" w:rsidP="000C561D">
      <w:pPr>
        <w:pStyle w:val="Corpotesto"/>
        <w:spacing w:before="21"/>
        <w:rPr>
          <w:rFonts w:ascii="Times New Roman" w:hAnsi="Times New Roman" w:cs="Times New Roman"/>
          <w:b/>
          <w:bCs/>
          <w:sz w:val="24"/>
          <w:szCs w:val="24"/>
        </w:rPr>
      </w:pPr>
    </w:p>
    <w:p w14:paraId="44C76D24" w14:textId="76F31CD1" w:rsidR="000C561D" w:rsidRPr="00793B6F" w:rsidRDefault="00EA78EC" w:rsidP="00793B6F">
      <w:pPr>
        <w:pStyle w:val="Corpotesto"/>
        <w:numPr>
          <w:ilvl w:val="0"/>
          <w:numId w:val="37"/>
        </w:numPr>
        <w:spacing w:before="21"/>
        <w:rPr>
          <w:rFonts w:ascii="Times New Roman" w:hAnsi="Times New Roman" w:cs="Times New Roman"/>
          <w:b/>
          <w:bCs/>
          <w:sz w:val="24"/>
          <w:szCs w:val="24"/>
          <w:u w:val="single"/>
        </w:rPr>
      </w:pPr>
      <w:r w:rsidRPr="00793B6F">
        <w:rPr>
          <w:rFonts w:ascii="Times New Roman" w:hAnsi="Times New Roman" w:cs="Times New Roman"/>
          <w:b/>
          <w:bCs/>
          <w:sz w:val="24"/>
          <w:szCs w:val="24"/>
          <w:u w:val="single"/>
        </w:rPr>
        <w:t xml:space="preserve">L’impatto del rapporto tra distributore e venditore nella qualità dei servizi di vendita ai clienti finali </w:t>
      </w:r>
    </w:p>
    <w:p w14:paraId="34124F8E" w14:textId="77777777" w:rsidR="000C561D" w:rsidRPr="00793B6F" w:rsidRDefault="000C561D" w:rsidP="000C561D">
      <w:pPr>
        <w:pStyle w:val="Corpotesto"/>
        <w:spacing w:before="21"/>
        <w:rPr>
          <w:rFonts w:ascii="Times New Roman" w:hAnsi="Times New Roman" w:cs="Times New Roman"/>
          <w:b/>
          <w:bCs/>
          <w:sz w:val="24"/>
          <w:szCs w:val="24"/>
          <w:u w:val="single"/>
        </w:rPr>
      </w:pPr>
    </w:p>
    <w:p w14:paraId="6C4C7EF6" w14:textId="7FE003C8" w:rsidR="00EA78EC" w:rsidRPr="00793B6F" w:rsidRDefault="00EA78EC"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Le società di vendita sono l’interlocutore primario per i clienti finali per segnalare, gestire e risolvere le problematiche relative alla fornitura. </w:t>
      </w:r>
    </w:p>
    <w:p w14:paraId="4DAF9735" w14:textId="77777777" w:rsidR="00EA78EC" w:rsidRPr="00793B6F" w:rsidRDefault="00EA78EC"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Il TIQV regola in modo preciso tempi e modi di gestione dei reclami da parte dei venditori e gli indennizzi in caso di mancata o ritardata risposta. </w:t>
      </w:r>
    </w:p>
    <w:p w14:paraId="64489F33" w14:textId="273E54ED" w:rsidR="00EA78EC" w:rsidRPr="00793B6F" w:rsidRDefault="00EA78EC"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I </w:t>
      </w:r>
      <w:r w:rsidRPr="00C11496">
        <w:rPr>
          <w:rFonts w:ascii="Times New Roman" w:hAnsi="Times New Roman" w:cs="Times New Roman"/>
          <w:b/>
          <w:bCs/>
          <w:sz w:val="24"/>
          <w:szCs w:val="24"/>
        </w:rPr>
        <w:t>venditori dimostrano particolare tempestività ed efficienza nei temi di risposta</w:t>
      </w:r>
      <w:r w:rsidRPr="00793B6F">
        <w:rPr>
          <w:rFonts w:ascii="Times New Roman" w:hAnsi="Times New Roman" w:cs="Times New Roman"/>
          <w:sz w:val="24"/>
          <w:szCs w:val="24"/>
        </w:rPr>
        <w:t xml:space="preserve">. </w:t>
      </w:r>
    </w:p>
    <w:p w14:paraId="5110444A" w14:textId="77777777" w:rsidR="00EA78EC" w:rsidRDefault="00EA78EC"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Ciò è dovuto alla necessità da parte dei venditori di: i) risolvere tempestivamente eventuali contestazioni ed esigere il pagamento delle bollette, ii) garantire una qualità di servizio elevata. </w:t>
      </w:r>
    </w:p>
    <w:p w14:paraId="5F1B0F08" w14:textId="77777777" w:rsidR="00C11496" w:rsidRPr="00793B6F" w:rsidRDefault="00C11496" w:rsidP="000C561D">
      <w:pPr>
        <w:pStyle w:val="Corpotesto"/>
        <w:spacing w:before="21"/>
        <w:rPr>
          <w:rFonts w:ascii="Times New Roman" w:hAnsi="Times New Roman" w:cs="Times New Roman"/>
          <w:sz w:val="24"/>
          <w:szCs w:val="24"/>
        </w:rPr>
      </w:pPr>
    </w:p>
    <w:p w14:paraId="78189FC6" w14:textId="77777777" w:rsidR="00EA78EC" w:rsidRDefault="00EA78EC"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Va rilevato tuttavia che i processi di gestione dei reclami subiscono invece particolari </w:t>
      </w:r>
      <w:r w:rsidRPr="00C11496">
        <w:rPr>
          <w:rFonts w:ascii="Times New Roman" w:hAnsi="Times New Roman" w:cs="Times New Roman"/>
          <w:b/>
          <w:bCs/>
          <w:sz w:val="24"/>
          <w:szCs w:val="24"/>
        </w:rPr>
        <w:t xml:space="preserve">ritardi nel momento in cui il venditore deve acquisire informazioni da parte del distributore </w:t>
      </w:r>
      <w:r w:rsidRPr="00793B6F">
        <w:rPr>
          <w:rFonts w:ascii="Times New Roman" w:hAnsi="Times New Roman" w:cs="Times New Roman"/>
          <w:sz w:val="24"/>
          <w:szCs w:val="24"/>
        </w:rPr>
        <w:t xml:space="preserve">per rispondere al cliente o quando è necessaria una sua attività per risolvere il problema. </w:t>
      </w:r>
    </w:p>
    <w:p w14:paraId="5ECD57FE" w14:textId="77777777" w:rsidR="00C11496" w:rsidRPr="00793B6F" w:rsidRDefault="00C11496" w:rsidP="000C561D">
      <w:pPr>
        <w:pStyle w:val="Corpotesto"/>
        <w:spacing w:before="21"/>
        <w:rPr>
          <w:rFonts w:ascii="Times New Roman" w:hAnsi="Times New Roman" w:cs="Times New Roman"/>
          <w:sz w:val="24"/>
          <w:szCs w:val="24"/>
        </w:rPr>
      </w:pPr>
    </w:p>
    <w:p w14:paraId="63B6676A" w14:textId="07650F88" w:rsidR="00EA78EC" w:rsidRPr="00793B6F" w:rsidRDefault="00EA78EC"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I dati riportati da ARERA nella Relazione Annuale</w:t>
      </w:r>
      <w:r w:rsidR="006E6A7B" w:rsidRPr="00793B6F">
        <w:rPr>
          <w:rFonts w:ascii="Times New Roman" w:hAnsi="Times New Roman" w:cs="Times New Roman"/>
          <w:sz w:val="24"/>
          <w:szCs w:val="24"/>
        </w:rPr>
        <w:t xml:space="preserve"> </w:t>
      </w:r>
      <w:proofErr w:type="gramStart"/>
      <w:r w:rsidR="006E6A7B" w:rsidRPr="00793B6F">
        <w:rPr>
          <w:rFonts w:ascii="Times New Roman" w:hAnsi="Times New Roman" w:cs="Times New Roman"/>
          <w:sz w:val="24"/>
          <w:szCs w:val="24"/>
        </w:rPr>
        <w:t>2024</w:t>
      </w:r>
      <w:r w:rsidRPr="00793B6F">
        <w:rPr>
          <w:rFonts w:ascii="Times New Roman" w:hAnsi="Times New Roman" w:cs="Times New Roman"/>
          <w:sz w:val="24"/>
          <w:szCs w:val="24"/>
        </w:rPr>
        <w:t xml:space="preserve">  indicano</w:t>
      </w:r>
      <w:proofErr w:type="gramEnd"/>
      <w:r w:rsidRPr="00793B6F">
        <w:rPr>
          <w:rFonts w:ascii="Times New Roman" w:hAnsi="Times New Roman" w:cs="Times New Roman"/>
          <w:sz w:val="24"/>
          <w:szCs w:val="24"/>
        </w:rPr>
        <w:t xml:space="preserve"> come tempi di risposta ai reclami da parte del distributore </w:t>
      </w:r>
      <w:r w:rsidR="00B07C41">
        <w:rPr>
          <w:rFonts w:ascii="Times New Roman" w:hAnsi="Times New Roman" w:cs="Times New Roman"/>
          <w:sz w:val="24"/>
          <w:szCs w:val="24"/>
        </w:rPr>
        <w:t>sono in</w:t>
      </w:r>
      <w:r w:rsidRPr="00793B6F">
        <w:rPr>
          <w:rFonts w:ascii="Times New Roman" w:hAnsi="Times New Roman" w:cs="Times New Roman"/>
          <w:sz w:val="24"/>
          <w:szCs w:val="24"/>
        </w:rPr>
        <w:t xml:space="preserve"> media al limite con i tempi massimi previsti dalla regolazione. Molti casi vengono quindi gestiti ben oltre i tempi massimi previsti. </w:t>
      </w:r>
    </w:p>
    <w:p w14:paraId="00A5EE56" w14:textId="77777777" w:rsidR="00C11496" w:rsidRDefault="00C11496" w:rsidP="000C561D">
      <w:pPr>
        <w:pStyle w:val="Corpotesto"/>
        <w:spacing w:before="21"/>
        <w:rPr>
          <w:rFonts w:ascii="Times New Roman" w:hAnsi="Times New Roman" w:cs="Times New Roman"/>
          <w:sz w:val="24"/>
          <w:szCs w:val="24"/>
        </w:rPr>
      </w:pPr>
    </w:p>
    <w:p w14:paraId="36A98C95" w14:textId="06B59F1E" w:rsidR="006733F9" w:rsidRPr="00793B6F" w:rsidRDefault="00EA78EC"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Sono numerosi i casi in cui il distributore non fornisce risposte o fornisce risposte incomplete o interlocutorie</w:t>
      </w:r>
      <w:r w:rsidR="00292AC6">
        <w:rPr>
          <w:rFonts w:ascii="Times New Roman" w:hAnsi="Times New Roman" w:cs="Times New Roman"/>
          <w:sz w:val="24"/>
          <w:szCs w:val="24"/>
        </w:rPr>
        <w:t xml:space="preserve"> e di conseguenza il venditore non riesce a dare risposta completa e tempestiva al cliente.</w:t>
      </w:r>
    </w:p>
    <w:p w14:paraId="0DBDE174" w14:textId="77777777" w:rsidR="00EA78EC" w:rsidRPr="00793B6F" w:rsidRDefault="00EA78EC"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In tutti questi casi di inerzia del distributore il venditore si trova gravemente esposto nei confronti del cliente finale. </w:t>
      </w:r>
      <w:proofErr w:type="gramStart"/>
      <w:r w:rsidRPr="00793B6F">
        <w:rPr>
          <w:rFonts w:ascii="Times New Roman" w:hAnsi="Times New Roman" w:cs="Times New Roman"/>
          <w:sz w:val="24"/>
          <w:szCs w:val="24"/>
        </w:rPr>
        <w:t>In particolare</w:t>
      </w:r>
      <w:proofErr w:type="gramEnd"/>
      <w:r w:rsidRPr="00793B6F">
        <w:rPr>
          <w:rFonts w:ascii="Times New Roman" w:hAnsi="Times New Roman" w:cs="Times New Roman"/>
          <w:sz w:val="24"/>
          <w:szCs w:val="24"/>
        </w:rPr>
        <w:t xml:space="preserve"> nei casi di maggior consumo l’inerzia del distributore arreca un danno finanziario oltre a mettere a rischio l’azione di recupero credito e generare un’inefficienza sulla filiera. </w:t>
      </w:r>
    </w:p>
    <w:p w14:paraId="487ED889" w14:textId="77777777" w:rsidR="00EA78EC" w:rsidRPr="00793B6F" w:rsidRDefault="00EA78EC"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Come conseguenza di questi ritardi si riscontra un sempre maggiore utilizzo della conciliazione come strumento per riuscire a interloquire coni il distributore e ottenere risposte complete. Tale distorsione dell’utilizzo dello strumento conciliativo non costituisce una soluzione al problema che dovrebbe risolversi anteriormente in fase di reclamo. </w:t>
      </w:r>
    </w:p>
    <w:p w14:paraId="530F3387" w14:textId="77777777" w:rsidR="00C11496" w:rsidRDefault="00C11496" w:rsidP="000C561D">
      <w:pPr>
        <w:pStyle w:val="Corpotesto"/>
        <w:spacing w:before="21"/>
        <w:rPr>
          <w:rFonts w:ascii="Times New Roman" w:hAnsi="Times New Roman" w:cs="Times New Roman"/>
          <w:sz w:val="24"/>
          <w:szCs w:val="24"/>
        </w:rPr>
      </w:pPr>
    </w:p>
    <w:p w14:paraId="4545DEDB" w14:textId="78B501B3" w:rsidR="00EA78EC" w:rsidRPr="005D5C57" w:rsidRDefault="00EA78EC" w:rsidP="000C561D">
      <w:pPr>
        <w:pStyle w:val="Corpotesto"/>
        <w:spacing w:before="21"/>
        <w:rPr>
          <w:rFonts w:ascii="Times New Roman" w:hAnsi="Times New Roman" w:cs="Times New Roman"/>
          <w:b/>
          <w:bCs/>
          <w:sz w:val="24"/>
          <w:szCs w:val="24"/>
        </w:rPr>
      </w:pPr>
      <w:r w:rsidRPr="00793B6F">
        <w:rPr>
          <w:rFonts w:ascii="Times New Roman" w:hAnsi="Times New Roman" w:cs="Times New Roman"/>
          <w:sz w:val="24"/>
          <w:szCs w:val="24"/>
        </w:rPr>
        <w:t>Si intende pertanto richiamare l’attenzione sulla necessità di i</w:t>
      </w:r>
      <w:r w:rsidRPr="00C11496">
        <w:rPr>
          <w:rFonts w:ascii="Times New Roman" w:hAnsi="Times New Roman" w:cs="Times New Roman"/>
          <w:b/>
          <w:bCs/>
          <w:sz w:val="24"/>
          <w:szCs w:val="24"/>
        </w:rPr>
        <w:t>ntrodurre presidi che garantiscano maggiore tempestività e efficienza nel rapporto tra venditore e distributore</w:t>
      </w:r>
      <w:r w:rsidRPr="00793B6F">
        <w:rPr>
          <w:rFonts w:ascii="Times New Roman" w:hAnsi="Times New Roman" w:cs="Times New Roman"/>
          <w:sz w:val="24"/>
          <w:szCs w:val="24"/>
        </w:rPr>
        <w:t xml:space="preserve"> quali a titolo esemplificativo: i) introdurre, ad integrazione di quanto già previsto dalla regolazione in materia di qualità commerciale del distributore, un</w:t>
      </w:r>
      <w:r w:rsidR="00D227D1">
        <w:rPr>
          <w:rFonts w:ascii="Times New Roman" w:hAnsi="Times New Roman" w:cs="Times New Roman"/>
          <w:sz w:val="24"/>
          <w:szCs w:val="24"/>
        </w:rPr>
        <w:t xml:space="preserve"> maggiore</w:t>
      </w:r>
      <w:r w:rsidRPr="00793B6F">
        <w:rPr>
          <w:rFonts w:ascii="Times New Roman" w:hAnsi="Times New Roman" w:cs="Times New Roman"/>
          <w:sz w:val="24"/>
          <w:szCs w:val="24"/>
        </w:rPr>
        <w:t xml:space="preserve"> </w:t>
      </w:r>
      <w:r w:rsidRPr="00C11496">
        <w:rPr>
          <w:rFonts w:ascii="Times New Roman" w:hAnsi="Times New Roman" w:cs="Times New Roman"/>
          <w:b/>
          <w:bCs/>
          <w:sz w:val="24"/>
          <w:szCs w:val="24"/>
        </w:rPr>
        <w:t>indennizzo</w:t>
      </w:r>
      <w:r w:rsidRPr="00793B6F">
        <w:rPr>
          <w:rFonts w:ascii="Times New Roman" w:hAnsi="Times New Roman" w:cs="Times New Roman"/>
          <w:sz w:val="24"/>
          <w:szCs w:val="24"/>
        </w:rPr>
        <w:t xml:space="preserve"> per tutte le richieste inevase o completate in ritardo dal distributore al venditore aventi origine da un reclamo di un cliente finale; ii) quantificare in modo esponenziale l’indennizzo </w:t>
      </w:r>
      <w:r w:rsidRPr="005D5C57">
        <w:rPr>
          <w:rFonts w:ascii="Times New Roman" w:hAnsi="Times New Roman" w:cs="Times New Roman"/>
          <w:b/>
          <w:bCs/>
          <w:sz w:val="24"/>
          <w:szCs w:val="24"/>
        </w:rPr>
        <w:t xml:space="preserve">in proporzione non solo ai giorni di ritardo ma anche al valore della pratica. </w:t>
      </w:r>
    </w:p>
    <w:p w14:paraId="71D67832" w14:textId="77777777" w:rsidR="004573E3" w:rsidRPr="005D5C57" w:rsidRDefault="004573E3" w:rsidP="000C561D">
      <w:pPr>
        <w:pStyle w:val="Corpotesto"/>
        <w:spacing w:before="21"/>
        <w:rPr>
          <w:rFonts w:ascii="Times New Roman" w:hAnsi="Times New Roman" w:cs="Times New Roman"/>
          <w:b/>
          <w:bCs/>
          <w:sz w:val="24"/>
          <w:szCs w:val="24"/>
        </w:rPr>
      </w:pPr>
    </w:p>
    <w:p w14:paraId="24833E4B" w14:textId="037E9A6D" w:rsidR="00EA78EC" w:rsidRDefault="00EA78EC" w:rsidP="004573E3">
      <w:pPr>
        <w:pStyle w:val="Corpotesto"/>
        <w:numPr>
          <w:ilvl w:val="0"/>
          <w:numId w:val="37"/>
        </w:numPr>
        <w:spacing w:before="21"/>
        <w:rPr>
          <w:rFonts w:ascii="Times New Roman" w:hAnsi="Times New Roman" w:cs="Times New Roman"/>
          <w:b/>
          <w:bCs/>
          <w:sz w:val="24"/>
          <w:szCs w:val="24"/>
        </w:rPr>
      </w:pPr>
      <w:r w:rsidRPr="004573E3">
        <w:rPr>
          <w:rFonts w:ascii="Times New Roman" w:hAnsi="Times New Roman" w:cs="Times New Roman"/>
          <w:b/>
          <w:bCs/>
          <w:sz w:val="24"/>
          <w:szCs w:val="24"/>
        </w:rPr>
        <w:t xml:space="preserve">Efficientamento del processo di gestione della morosità </w:t>
      </w:r>
    </w:p>
    <w:p w14:paraId="20122DC7" w14:textId="77777777" w:rsidR="004C1402" w:rsidRPr="004573E3" w:rsidRDefault="004C1402" w:rsidP="004C1402">
      <w:pPr>
        <w:pStyle w:val="Corpotesto"/>
        <w:spacing w:before="21"/>
        <w:ind w:left="383"/>
        <w:rPr>
          <w:rFonts w:ascii="Times New Roman" w:hAnsi="Times New Roman" w:cs="Times New Roman"/>
          <w:b/>
          <w:bCs/>
          <w:sz w:val="24"/>
          <w:szCs w:val="24"/>
        </w:rPr>
      </w:pPr>
    </w:p>
    <w:p w14:paraId="59F988B4" w14:textId="1C7B3B14" w:rsidR="00EA78EC" w:rsidRDefault="00B46277" w:rsidP="000C561D">
      <w:pPr>
        <w:pStyle w:val="Corpotesto"/>
        <w:spacing w:before="21"/>
        <w:rPr>
          <w:rFonts w:ascii="Times New Roman" w:hAnsi="Times New Roman" w:cs="Times New Roman"/>
          <w:sz w:val="24"/>
          <w:szCs w:val="24"/>
        </w:rPr>
      </w:pPr>
      <w:r>
        <w:rPr>
          <w:rFonts w:ascii="Times New Roman" w:hAnsi="Times New Roman" w:cs="Times New Roman"/>
          <w:sz w:val="24"/>
          <w:szCs w:val="24"/>
        </w:rPr>
        <w:t>Si rappresentano di seguito alcune problematiche e proposte di efficientamento del processo di gestione della morosità.</w:t>
      </w:r>
      <w:r w:rsidR="004C1402">
        <w:rPr>
          <w:rFonts w:ascii="Times New Roman" w:hAnsi="Times New Roman" w:cs="Times New Roman"/>
          <w:sz w:val="24"/>
          <w:szCs w:val="24"/>
        </w:rPr>
        <w:t xml:space="preserve"> Gli operatori quantificano nel prezzo di fornitura il rischio </w:t>
      </w:r>
      <w:proofErr w:type="gramStart"/>
      <w:r w:rsidR="004C1402">
        <w:rPr>
          <w:rFonts w:ascii="Times New Roman" w:hAnsi="Times New Roman" w:cs="Times New Roman"/>
          <w:sz w:val="24"/>
          <w:szCs w:val="24"/>
        </w:rPr>
        <w:t>morosità pertanto</w:t>
      </w:r>
      <w:proofErr w:type="gramEnd"/>
      <w:r w:rsidR="004C1402" w:rsidRPr="004C1402">
        <w:rPr>
          <w:rFonts w:ascii="Times New Roman" w:hAnsi="Times New Roman" w:cs="Times New Roman"/>
          <w:b/>
          <w:bCs/>
          <w:sz w:val="24"/>
          <w:szCs w:val="24"/>
        </w:rPr>
        <w:t xml:space="preserve"> un sistema </w:t>
      </w:r>
      <w:r w:rsidR="004C1402" w:rsidRPr="004C1402">
        <w:rPr>
          <w:rFonts w:ascii="Times New Roman" w:hAnsi="Times New Roman" w:cs="Times New Roman"/>
          <w:b/>
          <w:bCs/>
          <w:sz w:val="24"/>
          <w:szCs w:val="24"/>
        </w:rPr>
        <w:lastRenderedPageBreak/>
        <w:t xml:space="preserve">più efficiente di gestione della morosità comporta una riduzione dei prezzi finali </w:t>
      </w:r>
      <w:r w:rsidR="004C1402">
        <w:rPr>
          <w:rFonts w:ascii="Times New Roman" w:hAnsi="Times New Roman" w:cs="Times New Roman"/>
          <w:sz w:val="24"/>
          <w:szCs w:val="24"/>
        </w:rPr>
        <w:t>ai clienti oltre a una riduzione del rischio di socializzazione degli oneri per la morosità.</w:t>
      </w:r>
    </w:p>
    <w:p w14:paraId="51723BF2" w14:textId="77777777" w:rsidR="00B46277" w:rsidRPr="00793B6F" w:rsidRDefault="00B46277" w:rsidP="000C561D">
      <w:pPr>
        <w:pStyle w:val="Corpotesto"/>
        <w:spacing w:before="21"/>
        <w:rPr>
          <w:rFonts w:ascii="Times New Roman" w:hAnsi="Times New Roman" w:cs="Times New Roman"/>
          <w:sz w:val="24"/>
          <w:szCs w:val="24"/>
        </w:rPr>
      </w:pPr>
    </w:p>
    <w:p w14:paraId="54FE49D7" w14:textId="77777777" w:rsidR="00EA78EC" w:rsidRPr="00793B6F" w:rsidRDefault="00EA78EC"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3.1 Eliminazione del preavviso di interruzione </w:t>
      </w:r>
    </w:p>
    <w:p w14:paraId="362C934B" w14:textId="183F9CEB" w:rsidR="00EA78EC" w:rsidRPr="00793B6F" w:rsidRDefault="00EA78EC"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Si propone di introdurre maggiore efficienza nella fase </w:t>
      </w:r>
      <w:proofErr w:type="gramStart"/>
      <w:r w:rsidRPr="00793B6F">
        <w:rPr>
          <w:rFonts w:ascii="Times New Roman" w:hAnsi="Times New Roman" w:cs="Times New Roman"/>
          <w:sz w:val="24"/>
          <w:szCs w:val="24"/>
        </w:rPr>
        <w:t>di</w:t>
      </w:r>
      <w:r w:rsidR="005D5C57">
        <w:rPr>
          <w:rFonts w:ascii="Times New Roman" w:hAnsi="Times New Roman" w:cs="Times New Roman"/>
          <w:sz w:val="24"/>
          <w:szCs w:val="24"/>
        </w:rPr>
        <w:t xml:space="preserve"> </w:t>
      </w:r>
      <w:r w:rsidRPr="00793B6F">
        <w:rPr>
          <w:rFonts w:ascii="Times New Roman" w:hAnsi="Times New Roman" w:cs="Times New Roman"/>
          <w:sz w:val="24"/>
          <w:szCs w:val="24"/>
        </w:rPr>
        <w:t xml:space="preserve"> </w:t>
      </w:r>
      <w:r w:rsidRPr="005D5C57">
        <w:rPr>
          <w:rFonts w:ascii="Times New Roman" w:hAnsi="Times New Roman" w:cs="Times New Roman"/>
          <w:b/>
          <w:bCs/>
          <w:sz w:val="24"/>
          <w:szCs w:val="24"/>
        </w:rPr>
        <w:t>sospensione</w:t>
      </w:r>
      <w:proofErr w:type="gramEnd"/>
      <w:r w:rsidRPr="00793B6F">
        <w:rPr>
          <w:rFonts w:ascii="Times New Roman" w:hAnsi="Times New Roman" w:cs="Times New Roman"/>
          <w:sz w:val="24"/>
          <w:szCs w:val="24"/>
        </w:rPr>
        <w:t xml:space="preserve"> della fornitura in caso di contatore non controllato da remoto e </w:t>
      </w:r>
      <w:r w:rsidR="005D5C57">
        <w:rPr>
          <w:rFonts w:ascii="Times New Roman" w:hAnsi="Times New Roman" w:cs="Times New Roman"/>
          <w:sz w:val="24"/>
          <w:szCs w:val="24"/>
        </w:rPr>
        <w:t xml:space="preserve">nei casi </w:t>
      </w:r>
      <w:proofErr w:type="gramStart"/>
      <w:r w:rsidR="005D5C57">
        <w:rPr>
          <w:rFonts w:ascii="Times New Roman" w:hAnsi="Times New Roman" w:cs="Times New Roman"/>
          <w:sz w:val="24"/>
          <w:szCs w:val="24"/>
        </w:rPr>
        <w:t xml:space="preserve">di </w:t>
      </w:r>
      <w:r w:rsidRPr="00793B6F">
        <w:rPr>
          <w:rFonts w:ascii="Times New Roman" w:hAnsi="Times New Roman" w:cs="Times New Roman"/>
          <w:sz w:val="24"/>
          <w:szCs w:val="24"/>
        </w:rPr>
        <w:t xml:space="preserve"> </w:t>
      </w:r>
      <w:r w:rsidRPr="005D5C57">
        <w:rPr>
          <w:rFonts w:ascii="Times New Roman" w:hAnsi="Times New Roman" w:cs="Times New Roman"/>
          <w:b/>
          <w:bCs/>
          <w:sz w:val="24"/>
          <w:szCs w:val="24"/>
        </w:rPr>
        <w:t>interruzione</w:t>
      </w:r>
      <w:proofErr w:type="gramEnd"/>
      <w:r w:rsidRPr="00793B6F">
        <w:rPr>
          <w:rFonts w:ascii="Times New Roman" w:hAnsi="Times New Roman" w:cs="Times New Roman"/>
          <w:sz w:val="24"/>
          <w:szCs w:val="24"/>
        </w:rPr>
        <w:t xml:space="preserve"> della fornitura. </w:t>
      </w:r>
    </w:p>
    <w:p w14:paraId="671B73D1" w14:textId="77777777" w:rsidR="00EA78EC" w:rsidRPr="00793B6F" w:rsidRDefault="00EA78EC" w:rsidP="000C561D">
      <w:pPr>
        <w:pStyle w:val="Corpotesto"/>
        <w:spacing w:before="21"/>
        <w:rPr>
          <w:rFonts w:ascii="Times New Roman" w:hAnsi="Times New Roman" w:cs="Times New Roman"/>
          <w:sz w:val="24"/>
          <w:szCs w:val="24"/>
        </w:rPr>
      </w:pPr>
    </w:p>
    <w:p w14:paraId="23371562" w14:textId="77777777" w:rsidR="00EA78EC" w:rsidRPr="00793B6F" w:rsidRDefault="00EA78EC"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In tali fasi si riscontrano infatti da parte del distributore numerosi casi di </w:t>
      </w:r>
      <w:r w:rsidRPr="00C91F18">
        <w:rPr>
          <w:rFonts w:ascii="Times New Roman" w:hAnsi="Times New Roman" w:cs="Times New Roman"/>
          <w:b/>
          <w:bCs/>
          <w:sz w:val="24"/>
          <w:szCs w:val="24"/>
        </w:rPr>
        <w:t>non fattibilità, inaccessibilità</w:t>
      </w:r>
      <w:r w:rsidRPr="00793B6F">
        <w:rPr>
          <w:rFonts w:ascii="Times New Roman" w:hAnsi="Times New Roman" w:cs="Times New Roman"/>
          <w:sz w:val="24"/>
          <w:szCs w:val="24"/>
        </w:rPr>
        <w:t xml:space="preserve"> o ritardi nella gestione che aumentano esponenzialmente l’esposizione e il rischio credito dei fornitori. </w:t>
      </w:r>
    </w:p>
    <w:p w14:paraId="133C1F21" w14:textId="61DC0659" w:rsidR="00EA78EC" w:rsidRDefault="00EA78EC"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La regolazione prevede che le richieste di sospensione della fornitura e di interruzione dell’alimentazione del POD</w:t>
      </w:r>
      <w:r w:rsidR="000C4CC4">
        <w:rPr>
          <w:rFonts w:ascii="Times New Roman" w:hAnsi="Times New Roman" w:cs="Times New Roman"/>
          <w:sz w:val="24"/>
          <w:szCs w:val="24"/>
        </w:rPr>
        <w:t>/PDR</w:t>
      </w:r>
      <w:r w:rsidRPr="00793B6F">
        <w:rPr>
          <w:rFonts w:ascii="Times New Roman" w:hAnsi="Times New Roman" w:cs="Times New Roman"/>
          <w:sz w:val="24"/>
          <w:szCs w:val="24"/>
        </w:rPr>
        <w:t xml:space="preserve"> siano entrambe precedute da un’apposita comunicazione di preavviso trasmessa al cliente finale entro tempistiche definite: 40 giorni di preavviso per la sospensione della fornitura e un ulteriore preavviso di 10 giorni lavorativi per l’interruzione. </w:t>
      </w:r>
    </w:p>
    <w:p w14:paraId="4CAAE90B" w14:textId="77777777" w:rsidR="00C91F18" w:rsidRPr="00793B6F" w:rsidRDefault="00C91F18" w:rsidP="000C561D">
      <w:pPr>
        <w:pStyle w:val="Corpotesto"/>
        <w:spacing w:before="21"/>
        <w:rPr>
          <w:rFonts w:ascii="Times New Roman" w:hAnsi="Times New Roman" w:cs="Times New Roman"/>
          <w:sz w:val="24"/>
          <w:szCs w:val="24"/>
        </w:rPr>
      </w:pPr>
    </w:p>
    <w:p w14:paraId="0482F641" w14:textId="77777777" w:rsidR="00EA78EC" w:rsidRDefault="00EA78EC"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Al fine di limitare l’esposizione finanziaria delle </w:t>
      </w:r>
      <w:proofErr w:type="spellStart"/>
      <w:r w:rsidRPr="00793B6F">
        <w:rPr>
          <w:rFonts w:ascii="Times New Roman" w:hAnsi="Times New Roman" w:cs="Times New Roman"/>
          <w:sz w:val="24"/>
          <w:szCs w:val="24"/>
        </w:rPr>
        <w:t>SdV</w:t>
      </w:r>
      <w:proofErr w:type="spellEnd"/>
      <w:r w:rsidRPr="00793B6F">
        <w:rPr>
          <w:rFonts w:ascii="Times New Roman" w:hAnsi="Times New Roman" w:cs="Times New Roman"/>
          <w:sz w:val="24"/>
          <w:szCs w:val="24"/>
        </w:rPr>
        <w:t xml:space="preserve">, anche a causa del suddetto doppio preavviso, si richiede di valutare una razionalizzazione di tali comunicazioni eliminando il secondo preavviso relativo all’interruzione. Nel dettaglio, si potrebbe verificare la possibilità di concedere alle </w:t>
      </w:r>
      <w:proofErr w:type="spellStart"/>
      <w:r w:rsidRPr="00793B6F">
        <w:rPr>
          <w:rFonts w:ascii="Times New Roman" w:hAnsi="Times New Roman" w:cs="Times New Roman"/>
          <w:sz w:val="24"/>
          <w:szCs w:val="24"/>
        </w:rPr>
        <w:t>SdV</w:t>
      </w:r>
      <w:proofErr w:type="spellEnd"/>
      <w:r w:rsidRPr="00793B6F">
        <w:rPr>
          <w:rFonts w:ascii="Times New Roman" w:hAnsi="Times New Roman" w:cs="Times New Roman"/>
          <w:sz w:val="24"/>
          <w:szCs w:val="24"/>
        </w:rPr>
        <w:t xml:space="preserve"> la facoltà di anticipare già nella costituzione in mora (art. 3.2) anche le informazioni, di massima, di cui all’articolo 9, comma 2, eliminando di fatto il secondo preavviso. </w:t>
      </w:r>
    </w:p>
    <w:p w14:paraId="4D899707" w14:textId="77777777" w:rsidR="00C91F18" w:rsidRPr="00793B6F" w:rsidRDefault="00C91F18" w:rsidP="000C561D">
      <w:pPr>
        <w:pStyle w:val="Corpotesto"/>
        <w:spacing w:before="21"/>
        <w:rPr>
          <w:rFonts w:ascii="Times New Roman" w:hAnsi="Times New Roman" w:cs="Times New Roman"/>
          <w:sz w:val="24"/>
          <w:szCs w:val="24"/>
        </w:rPr>
      </w:pPr>
    </w:p>
    <w:p w14:paraId="2F2DD71C" w14:textId="77777777" w:rsidR="00EA78EC" w:rsidRPr="00793B6F" w:rsidRDefault="00EA78EC"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3.2 Impossibilità di applicare il CMOR nel caso di voltura e disattivazione </w:t>
      </w:r>
    </w:p>
    <w:p w14:paraId="6DD276D1" w14:textId="77777777" w:rsidR="00450A37" w:rsidRPr="00793B6F" w:rsidRDefault="00EA78EC"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Si registra una percentuale molto significativa di richieste di CMOR inammissibili a causa di cessazioni amministrative, disattivazioni e volture intercorse nell’arco dei </w:t>
      </w:r>
      <w:proofErr w:type="gramStart"/>
      <w:r w:rsidRPr="00793B6F">
        <w:rPr>
          <w:rFonts w:ascii="Times New Roman" w:hAnsi="Times New Roman" w:cs="Times New Roman"/>
          <w:sz w:val="24"/>
          <w:szCs w:val="24"/>
        </w:rPr>
        <w:t>6</w:t>
      </w:r>
      <w:proofErr w:type="gramEnd"/>
      <w:r w:rsidRPr="00793B6F">
        <w:rPr>
          <w:rFonts w:ascii="Times New Roman" w:hAnsi="Times New Roman" w:cs="Times New Roman"/>
          <w:sz w:val="24"/>
          <w:szCs w:val="24"/>
        </w:rPr>
        <w:t xml:space="preserve"> mesi antecedenti la</w:t>
      </w:r>
      <w:r w:rsidR="00450A37" w:rsidRPr="00793B6F">
        <w:rPr>
          <w:rFonts w:ascii="Times New Roman" w:hAnsi="Times New Roman" w:cs="Times New Roman"/>
          <w:sz w:val="24"/>
          <w:szCs w:val="24"/>
        </w:rPr>
        <w:t xml:space="preserve"> richiesta di indennizzo. Ne consegue, che in tali fattispecie non è attualmente possibile ottenere l’indennizzo, con grave danno a carico delle </w:t>
      </w:r>
      <w:proofErr w:type="spellStart"/>
      <w:r w:rsidR="00450A37" w:rsidRPr="00793B6F">
        <w:rPr>
          <w:rFonts w:ascii="Times New Roman" w:hAnsi="Times New Roman" w:cs="Times New Roman"/>
          <w:sz w:val="24"/>
          <w:szCs w:val="24"/>
        </w:rPr>
        <w:t>SdV</w:t>
      </w:r>
      <w:proofErr w:type="spellEnd"/>
      <w:r w:rsidR="00450A37" w:rsidRPr="00793B6F">
        <w:rPr>
          <w:rFonts w:ascii="Times New Roman" w:hAnsi="Times New Roman" w:cs="Times New Roman"/>
          <w:sz w:val="24"/>
          <w:szCs w:val="24"/>
        </w:rPr>
        <w:t xml:space="preserve">. </w:t>
      </w:r>
    </w:p>
    <w:p w14:paraId="3E251933" w14:textId="77777777" w:rsidR="00450A37" w:rsidRPr="00793B6F"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La possibilità che tra la data di switching e l’attuale tempistica di presentazione della richiesta di indennizzo intercorra una prestazione che modifichi lo stato/titolarità del </w:t>
      </w:r>
      <w:proofErr w:type="spellStart"/>
      <w:r w:rsidRPr="00793B6F">
        <w:rPr>
          <w:rFonts w:ascii="Times New Roman" w:hAnsi="Times New Roman" w:cs="Times New Roman"/>
          <w:sz w:val="24"/>
          <w:szCs w:val="24"/>
        </w:rPr>
        <w:t>PdR</w:t>
      </w:r>
      <w:proofErr w:type="spellEnd"/>
      <w:r w:rsidRPr="00793B6F">
        <w:rPr>
          <w:rFonts w:ascii="Times New Roman" w:hAnsi="Times New Roman" w:cs="Times New Roman"/>
          <w:sz w:val="24"/>
          <w:szCs w:val="24"/>
        </w:rPr>
        <w:t xml:space="preserve"> è al quanto elevata. </w:t>
      </w:r>
    </w:p>
    <w:p w14:paraId="30449B4F" w14:textId="77777777" w:rsidR="00450A37" w:rsidRPr="00793B6F"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Si ritiene pertanto necessario che il Sistema Indennitario venga esteso anche a tali casistiche, auspicando un intervento di modifica della regolazione che consenta di attribuire la CMOR al cliente, identificato dal codice fiscale o partita IVA, a prescindere dal </w:t>
      </w:r>
      <w:proofErr w:type="spellStart"/>
      <w:r w:rsidRPr="00793B6F">
        <w:rPr>
          <w:rFonts w:ascii="Times New Roman" w:hAnsi="Times New Roman" w:cs="Times New Roman"/>
          <w:sz w:val="24"/>
          <w:szCs w:val="24"/>
        </w:rPr>
        <w:t>PdR</w:t>
      </w:r>
      <w:proofErr w:type="spellEnd"/>
      <w:r w:rsidRPr="00793B6F">
        <w:rPr>
          <w:rFonts w:ascii="Times New Roman" w:hAnsi="Times New Roman" w:cs="Times New Roman"/>
          <w:sz w:val="24"/>
          <w:szCs w:val="24"/>
        </w:rPr>
        <w:t xml:space="preserve"> di cui risulta intestatario </w:t>
      </w:r>
    </w:p>
    <w:p w14:paraId="1BE31464" w14:textId="77777777" w:rsidR="00C91F18" w:rsidRDefault="00C91F18" w:rsidP="000C561D">
      <w:pPr>
        <w:pStyle w:val="Corpotesto"/>
        <w:spacing w:before="21"/>
        <w:rPr>
          <w:rFonts w:ascii="Times New Roman" w:hAnsi="Times New Roman" w:cs="Times New Roman"/>
          <w:sz w:val="24"/>
          <w:szCs w:val="24"/>
        </w:rPr>
      </w:pPr>
    </w:p>
    <w:p w14:paraId="5307011C" w14:textId="3273B492" w:rsidR="00450A37" w:rsidRPr="00793B6F"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3.3 Voltura contrattuale nel caso di morosità del volturato </w:t>
      </w:r>
    </w:p>
    <w:p w14:paraId="4EC28017" w14:textId="77777777" w:rsidR="00450A37" w:rsidRPr="00793B6F"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Sono frequenti i casi di volture tra familiari o aziende dello stesso gruppo con morosità a carico del volturato per i quali la </w:t>
      </w:r>
      <w:proofErr w:type="spellStart"/>
      <w:r w:rsidRPr="00793B6F">
        <w:rPr>
          <w:rFonts w:ascii="Times New Roman" w:hAnsi="Times New Roman" w:cs="Times New Roman"/>
          <w:sz w:val="24"/>
          <w:szCs w:val="24"/>
        </w:rPr>
        <w:t>SdV</w:t>
      </w:r>
      <w:proofErr w:type="spellEnd"/>
      <w:r w:rsidRPr="00793B6F">
        <w:rPr>
          <w:rFonts w:ascii="Times New Roman" w:hAnsi="Times New Roman" w:cs="Times New Roman"/>
          <w:sz w:val="24"/>
          <w:szCs w:val="24"/>
        </w:rPr>
        <w:t xml:space="preserve"> si trova inibita nell’azione di sospensione della fornitura o nel processo indennitario per effetto della voltura. Si ritiene opportuno l’introduzione di maggiori presidi a tutela delle </w:t>
      </w:r>
      <w:proofErr w:type="spellStart"/>
      <w:r w:rsidRPr="00793B6F">
        <w:rPr>
          <w:rFonts w:ascii="Times New Roman" w:hAnsi="Times New Roman" w:cs="Times New Roman"/>
          <w:sz w:val="24"/>
          <w:szCs w:val="24"/>
        </w:rPr>
        <w:t>SdV</w:t>
      </w:r>
      <w:proofErr w:type="spellEnd"/>
      <w:r w:rsidRPr="00793B6F">
        <w:rPr>
          <w:rFonts w:ascii="Times New Roman" w:hAnsi="Times New Roman" w:cs="Times New Roman"/>
          <w:sz w:val="24"/>
          <w:szCs w:val="24"/>
        </w:rPr>
        <w:t xml:space="preserve"> in fase di voltura. </w:t>
      </w:r>
    </w:p>
    <w:p w14:paraId="16B8C1EF" w14:textId="1F600FC8" w:rsidR="00450A37" w:rsidRPr="00793B6F"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A titolo esemplificativo, si richiede di meglio chiarire e regolare la casistica descritta nell’Atlante del consumatore (</w:t>
      </w:r>
      <w:hyperlink r:id="rId8" w:history="1">
        <w:r w:rsidRPr="006719A7">
          <w:rPr>
            <w:rStyle w:val="Collegamentoipertestuale"/>
            <w:rFonts w:ascii="Times New Roman" w:hAnsi="Times New Roman" w:cs="Times New Roman"/>
            <w:sz w:val="24"/>
            <w:szCs w:val="24"/>
          </w:rPr>
          <w:t>link</w:t>
        </w:r>
      </w:hyperlink>
      <w:r w:rsidRPr="00793B6F">
        <w:rPr>
          <w:rFonts w:ascii="Times New Roman" w:hAnsi="Times New Roman" w:cs="Times New Roman"/>
          <w:sz w:val="24"/>
          <w:szCs w:val="24"/>
        </w:rPr>
        <w:t xml:space="preserve">) in cui si ammette, nei casi </w:t>
      </w:r>
      <w:r w:rsidR="006719A7">
        <w:rPr>
          <w:rFonts w:ascii="Times New Roman" w:hAnsi="Times New Roman" w:cs="Times New Roman"/>
          <w:sz w:val="24"/>
          <w:szCs w:val="24"/>
        </w:rPr>
        <w:t xml:space="preserve">“in cui </w:t>
      </w:r>
      <w:r w:rsidR="00D723B9">
        <w:rPr>
          <w:rFonts w:ascii="Times New Roman" w:hAnsi="Times New Roman" w:cs="Times New Roman"/>
          <w:sz w:val="24"/>
          <w:szCs w:val="24"/>
        </w:rPr>
        <w:t>chi voltura o subentra non è estraneo al debito”</w:t>
      </w:r>
      <w:r w:rsidRPr="00793B6F">
        <w:rPr>
          <w:rFonts w:ascii="Times New Roman" w:hAnsi="Times New Roman" w:cs="Times New Roman"/>
          <w:sz w:val="24"/>
          <w:szCs w:val="24"/>
        </w:rPr>
        <w:t>, l’addebito della morosità del volturato al volturante</w:t>
      </w:r>
      <w:r w:rsidR="00762146">
        <w:rPr>
          <w:rFonts w:ascii="Times New Roman" w:hAnsi="Times New Roman" w:cs="Times New Roman"/>
          <w:sz w:val="24"/>
          <w:szCs w:val="24"/>
        </w:rPr>
        <w:t xml:space="preserve">. Si chiede di poter applicare questa casistica a </w:t>
      </w:r>
      <w:proofErr w:type="gramStart"/>
      <w:r w:rsidR="00762146">
        <w:rPr>
          <w:rFonts w:ascii="Times New Roman" w:hAnsi="Times New Roman" w:cs="Times New Roman"/>
          <w:sz w:val="24"/>
          <w:szCs w:val="24"/>
        </w:rPr>
        <w:t>casi ad esempio</w:t>
      </w:r>
      <w:proofErr w:type="gramEnd"/>
      <w:r w:rsidR="00762146">
        <w:rPr>
          <w:rFonts w:ascii="Times New Roman" w:hAnsi="Times New Roman" w:cs="Times New Roman"/>
          <w:sz w:val="24"/>
          <w:szCs w:val="24"/>
        </w:rPr>
        <w:t xml:space="preserve"> di</w:t>
      </w:r>
      <w:r w:rsidRPr="00793B6F">
        <w:rPr>
          <w:rFonts w:ascii="Times New Roman" w:hAnsi="Times New Roman" w:cs="Times New Roman"/>
          <w:sz w:val="24"/>
          <w:szCs w:val="24"/>
        </w:rPr>
        <w:t xml:space="preserve"> convivenza </w:t>
      </w:r>
      <w:r w:rsidR="00762146">
        <w:rPr>
          <w:rFonts w:ascii="Times New Roman" w:hAnsi="Times New Roman" w:cs="Times New Roman"/>
          <w:sz w:val="24"/>
          <w:szCs w:val="24"/>
        </w:rPr>
        <w:t xml:space="preserve">o parentela diretta </w:t>
      </w:r>
      <w:r w:rsidRPr="00793B6F">
        <w:rPr>
          <w:rFonts w:ascii="Times New Roman" w:hAnsi="Times New Roman" w:cs="Times New Roman"/>
          <w:sz w:val="24"/>
          <w:szCs w:val="24"/>
        </w:rPr>
        <w:t>in caso di persone fisiche</w:t>
      </w:r>
      <w:r w:rsidR="005555C8">
        <w:rPr>
          <w:rFonts w:ascii="Times New Roman" w:hAnsi="Times New Roman" w:cs="Times New Roman"/>
          <w:sz w:val="24"/>
          <w:szCs w:val="24"/>
        </w:rPr>
        <w:t xml:space="preserve"> o, nel caso di</w:t>
      </w:r>
      <w:r w:rsidRPr="00793B6F">
        <w:rPr>
          <w:rFonts w:ascii="Times New Roman" w:hAnsi="Times New Roman" w:cs="Times New Roman"/>
          <w:sz w:val="24"/>
          <w:szCs w:val="24"/>
        </w:rPr>
        <w:t xml:space="preserve"> persone giuridiche</w:t>
      </w:r>
      <w:r w:rsidR="005555C8">
        <w:rPr>
          <w:rFonts w:ascii="Times New Roman" w:hAnsi="Times New Roman" w:cs="Times New Roman"/>
          <w:sz w:val="24"/>
          <w:szCs w:val="24"/>
        </w:rPr>
        <w:t>,</w:t>
      </w:r>
      <w:r w:rsidRPr="00793B6F">
        <w:rPr>
          <w:rFonts w:ascii="Times New Roman" w:hAnsi="Times New Roman" w:cs="Times New Roman"/>
          <w:sz w:val="24"/>
          <w:szCs w:val="24"/>
        </w:rPr>
        <w:t xml:space="preserve"> nei casi di collegamento societario, affitto e cessione ramo d’azienda o fusione tra volturante e volturato. </w:t>
      </w:r>
    </w:p>
    <w:p w14:paraId="0950FFD8" w14:textId="77777777" w:rsidR="00C91F18" w:rsidRDefault="00C91F18" w:rsidP="000C561D">
      <w:pPr>
        <w:pStyle w:val="Corpotesto"/>
        <w:spacing w:before="21"/>
        <w:rPr>
          <w:rFonts w:ascii="Times New Roman" w:hAnsi="Times New Roman" w:cs="Times New Roman"/>
          <w:sz w:val="24"/>
          <w:szCs w:val="24"/>
        </w:rPr>
      </w:pPr>
    </w:p>
    <w:p w14:paraId="48F49D8E" w14:textId="71920183" w:rsidR="00450A37" w:rsidRPr="00793B6F"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3.4 Non fattibilità della sospensione/interruzione </w:t>
      </w:r>
    </w:p>
    <w:p w14:paraId="6B4D1F1C" w14:textId="77777777" w:rsidR="00450A37" w:rsidRPr="00793B6F"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Le richieste di sospensione/interruzione della fornitura vengono spesso respinte dal distributore con </w:t>
      </w:r>
      <w:r w:rsidRPr="00793B6F">
        <w:rPr>
          <w:rFonts w:ascii="Times New Roman" w:hAnsi="Times New Roman" w:cs="Times New Roman"/>
          <w:sz w:val="24"/>
          <w:szCs w:val="24"/>
        </w:rPr>
        <w:lastRenderedPageBreak/>
        <w:t xml:space="preserve">causale di “non fattibilità tecnica” soprattutto nei casi di contatori non </w:t>
      </w:r>
      <w:proofErr w:type="spellStart"/>
      <w:r w:rsidRPr="00793B6F">
        <w:rPr>
          <w:rFonts w:ascii="Times New Roman" w:hAnsi="Times New Roman" w:cs="Times New Roman"/>
          <w:sz w:val="24"/>
          <w:szCs w:val="24"/>
        </w:rPr>
        <w:t>telegestiti</w:t>
      </w:r>
      <w:proofErr w:type="spellEnd"/>
      <w:r w:rsidRPr="00793B6F">
        <w:rPr>
          <w:rFonts w:ascii="Times New Roman" w:hAnsi="Times New Roman" w:cs="Times New Roman"/>
          <w:sz w:val="24"/>
          <w:szCs w:val="24"/>
        </w:rPr>
        <w:t xml:space="preserve">. </w:t>
      </w:r>
    </w:p>
    <w:p w14:paraId="08AF5CCD" w14:textId="77777777" w:rsidR="00450A37" w:rsidRPr="00793B6F"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In tali casi il fornitore si trova a subire un incremento della propria esposizione creditizia a fronte di una inefficienza del sistema e inibito nell’esercizio delle più elementari azioni di tutela del proprio credito. </w:t>
      </w:r>
    </w:p>
    <w:p w14:paraId="4A87E00A" w14:textId="77777777" w:rsidR="00450A37" w:rsidRPr="00793B6F"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Si propone di introdurre presidi affinché sia incrementata l’efficacia del distributore nelle azioni di sospensione e interruzione della fornitura. Si suggerisce a titolo esemplificativo un meccanismo di indennizzo a favore del venditore alimentato da penalità a carico del distributore. </w:t>
      </w:r>
    </w:p>
    <w:p w14:paraId="0ADA239B" w14:textId="77777777" w:rsidR="00C91F18" w:rsidRDefault="00C91F18" w:rsidP="000C561D">
      <w:pPr>
        <w:pStyle w:val="Corpotesto"/>
        <w:spacing w:before="21"/>
        <w:rPr>
          <w:rFonts w:ascii="Times New Roman" w:hAnsi="Times New Roman" w:cs="Times New Roman"/>
          <w:sz w:val="24"/>
          <w:szCs w:val="24"/>
        </w:rPr>
      </w:pPr>
    </w:p>
    <w:p w14:paraId="59AAC8FB" w14:textId="0373C1B0" w:rsidR="00450A37" w:rsidRPr="00793B6F"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3.5 Tempi minimi di preavviso </w:t>
      </w:r>
    </w:p>
    <w:p w14:paraId="07ED2DDD" w14:textId="2D380AA5" w:rsidR="00450A37" w:rsidRPr="00793B6F"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La legge di bilancio 2020 ha modificato il processo di recupero del credito prevedendo l’uso di «raccomandata con avviso di ricevimento» per l’invio delle costituzioni in mora e un preavviso di 40 giorni dal «ricevimento» prima di poter esercitare la sospensione della fornitura. Tale nuova modalità di sollecito ha sostituito la precedente stabilita da ARERA nel TIMOE</w:t>
      </w:r>
      <w:r w:rsidR="00400A50">
        <w:rPr>
          <w:rFonts w:ascii="Times New Roman" w:hAnsi="Times New Roman" w:cs="Times New Roman"/>
          <w:sz w:val="24"/>
          <w:szCs w:val="24"/>
        </w:rPr>
        <w:t xml:space="preserve"> e TIMG</w:t>
      </w:r>
      <w:r w:rsidRPr="00793B6F">
        <w:rPr>
          <w:rFonts w:ascii="Times New Roman" w:hAnsi="Times New Roman" w:cs="Times New Roman"/>
          <w:sz w:val="24"/>
          <w:szCs w:val="24"/>
        </w:rPr>
        <w:t xml:space="preserve"> che indicava tempi e modalità più efficienti e diversificati a seconda della tipologia del cliente. </w:t>
      </w:r>
    </w:p>
    <w:p w14:paraId="1BF68851" w14:textId="6175EE84" w:rsidR="00450A37"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L’esperienza di questi tre anni ha fatto emergere i forti limiti della nuova disciplina rispetto alla previgente regolazione ARERA: i) non distingue clienti meritevoli di tutela e clienti non meritevoli di tutela; ii) si applica indistintamente a persone fisiche, PMI e grandi aziende</w:t>
      </w:r>
      <w:r w:rsidR="00D636BB">
        <w:rPr>
          <w:rFonts w:ascii="Times New Roman" w:hAnsi="Times New Roman" w:cs="Times New Roman"/>
          <w:sz w:val="24"/>
          <w:szCs w:val="24"/>
        </w:rPr>
        <w:t>;</w:t>
      </w:r>
      <w:r w:rsidRPr="00793B6F">
        <w:rPr>
          <w:rFonts w:ascii="Times New Roman" w:hAnsi="Times New Roman" w:cs="Times New Roman"/>
          <w:sz w:val="24"/>
          <w:szCs w:val="24"/>
        </w:rPr>
        <w:t xml:space="preserve"> </w:t>
      </w:r>
      <w:r w:rsidR="00D636BB">
        <w:rPr>
          <w:rFonts w:ascii="Times New Roman" w:hAnsi="Times New Roman" w:cs="Times New Roman"/>
          <w:sz w:val="24"/>
          <w:szCs w:val="24"/>
        </w:rPr>
        <w:t>i</w:t>
      </w:r>
      <w:r w:rsidRPr="00793B6F">
        <w:rPr>
          <w:rFonts w:ascii="Times New Roman" w:hAnsi="Times New Roman" w:cs="Times New Roman"/>
          <w:sz w:val="24"/>
          <w:szCs w:val="24"/>
        </w:rPr>
        <w:t>ii)</w:t>
      </w:r>
      <w:r w:rsidR="008D143B">
        <w:rPr>
          <w:rFonts w:ascii="Times New Roman" w:hAnsi="Times New Roman" w:cs="Times New Roman"/>
          <w:sz w:val="24"/>
          <w:szCs w:val="24"/>
        </w:rPr>
        <w:t xml:space="preserve"> </w:t>
      </w:r>
      <w:r w:rsidRPr="00793B6F">
        <w:rPr>
          <w:rFonts w:ascii="Times New Roman" w:hAnsi="Times New Roman" w:cs="Times New Roman"/>
          <w:sz w:val="24"/>
          <w:szCs w:val="24"/>
        </w:rPr>
        <w:t xml:space="preserve">introduce tempi di preavviso completamente sbilanciati rispetto ad un tipo di fornitura che già per sua natura genera un’esposizione a carico del venditore. </w:t>
      </w:r>
    </w:p>
    <w:p w14:paraId="216494CA" w14:textId="77777777" w:rsidR="00D636BB" w:rsidRPr="00793B6F" w:rsidRDefault="00D636BB" w:rsidP="000C561D">
      <w:pPr>
        <w:pStyle w:val="Corpotesto"/>
        <w:spacing w:before="21"/>
        <w:rPr>
          <w:rFonts w:ascii="Times New Roman" w:hAnsi="Times New Roman" w:cs="Times New Roman"/>
          <w:sz w:val="24"/>
          <w:szCs w:val="24"/>
        </w:rPr>
      </w:pPr>
    </w:p>
    <w:p w14:paraId="5BD85A06" w14:textId="2AACD909" w:rsidR="00450A37"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Si propone un intervento normativo volto a risolvere tale problematica almeno con riferimento al perimetro di applicazione limitandolo ai soli clienti domestici e non, come è ora, a tutti i clienti compresi i grandi consumatori energivori. </w:t>
      </w:r>
    </w:p>
    <w:p w14:paraId="70829822" w14:textId="77777777" w:rsidR="00D636BB" w:rsidRPr="00793B6F" w:rsidRDefault="00D636BB" w:rsidP="000C561D">
      <w:pPr>
        <w:pStyle w:val="Corpotesto"/>
        <w:spacing w:before="21"/>
        <w:rPr>
          <w:rFonts w:ascii="Times New Roman" w:hAnsi="Times New Roman" w:cs="Times New Roman"/>
          <w:sz w:val="24"/>
          <w:szCs w:val="24"/>
        </w:rPr>
      </w:pPr>
    </w:p>
    <w:p w14:paraId="160286C7" w14:textId="5D13550C" w:rsidR="00450A37" w:rsidRPr="00793B6F"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3.6 Eventi emergenziali </w:t>
      </w:r>
    </w:p>
    <w:p w14:paraId="79F937A9" w14:textId="77777777" w:rsidR="00450A37" w:rsidRPr="00793B6F"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A partire dal terremoto in Abruzzo del 2009 si è consolidata la prassi regolatoria di invocare la sospensione dei pagamenti delle fatture di energia e gas per le popolazioni colpite da eventi emergenziali. </w:t>
      </w:r>
    </w:p>
    <w:p w14:paraId="68D95783" w14:textId="77777777" w:rsidR="00450A37" w:rsidRPr="00793B6F"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Ferma la bontà di ogni iniziativa volta supportare popolazioni in stato eccezionale di difficoltà si ritiene tuttavia non corretto far ricadere sugli operatori privati di un mercato liberalizzato oneri diretti o indiretti di tali iniziative. </w:t>
      </w:r>
    </w:p>
    <w:p w14:paraId="74FF2603" w14:textId="77777777" w:rsidR="00450A37" w:rsidRPr="00793B6F"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Grava infatti sui venditori di energia l’esposizione finanziaria e il rischio di recupero del credito. </w:t>
      </w:r>
      <w:proofErr w:type="gramStart"/>
      <w:r w:rsidRPr="00793B6F">
        <w:rPr>
          <w:rFonts w:ascii="Times New Roman" w:hAnsi="Times New Roman" w:cs="Times New Roman"/>
          <w:sz w:val="24"/>
          <w:szCs w:val="24"/>
        </w:rPr>
        <w:t>Inoltre</w:t>
      </w:r>
      <w:proofErr w:type="gramEnd"/>
      <w:r w:rsidRPr="00793B6F">
        <w:rPr>
          <w:rFonts w:ascii="Times New Roman" w:hAnsi="Times New Roman" w:cs="Times New Roman"/>
          <w:sz w:val="24"/>
          <w:szCs w:val="24"/>
        </w:rPr>
        <w:t xml:space="preserve"> le misure di tutela che, non sempre in modo omogeneo, vengono previste dalla regolazione a favore dei venditori non neutralizzano tale onerosità, sono spesso volte a tutelare situazioni di estrema gravità e prevedono indennizzi solo su un orizzonte temporaneo lungo. </w:t>
      </w:r>
    </w:p>
    <w:p w14:paraId="7B6230BB" w14:textId="77777777" w:rsidR="00450A37" w:rsidRPr="00793B6F"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Tali eventi aleatori generano inoltre discriminazioni in termini di concorrenza del mercato. </w:t>
      </w:r>
    </w:p>
    <w:p w14:paraId="00F468A7" w14:textId="77777777" w:rsidR="00450A37" w:rsidRDefault="00450A37" w:rsidP="000C561D">
      <w:pPr>
        <w:pStyle w:val="Corpotesto"/>
        <w:spacing w:before="21"/>
        <w:rPr>
          <w:rFonts w:ascii="Times New Roman" w:hAnsi="Times New Roman" w:cs="Times New Roman"/>
          <w:sz w:val="24"/>
          <w:szCs w:val="24"/>
        </w:rPr>
      </w:pPr>
      <w:r w:rsidRPr="00793B6F">
        <w:rPr>
          <w:rFonts w:ascii="Times New Roman" w:hAnsi="Times New Roman" w:cs="Times New Roman"/>
          <w:sz w:val="24"/>
          <w:szCs w:val="24"/>
        </w:rPr>
        <w:t xml:space="preserve">Ribadendo la bontà di ogni iniziativa volta a supportare situazioni di emergenza si chiede di garantire nei prossimi provvedimenti la piena neutralità delle società di vendita di energia con meccanismi che sollevino totalmente le stesse da ogni onere e rischio immediato o potenziale. </w:t>
      </w:r>
    </w:p>
    <w:p w14:paraId="2994DF4A" w14:textId="77777777" w:rsidR="004334BF" w:rsidRDefault="004334BF" w:rsidP="000C561D">
      <w:pPr>
        <w:pStyle w:val="Corpotesto"/>
        <w:spacing w:before="21"/>
        <w:rPr>
          <w:rFonts w:ascii="Times New Roman" w:hAnsi="Times New Roman" w:cs="Times New Roman"/>
          <w:sz w:val="24"/>
          <w:szCs w:val="24"/>
        </w:rPr>
      </w:pPr>
    </w:p>
    <w:p w14:paraId="6830EE67" w14:textId="6105DE7D" w:rsidR="00807D73" w:rsidRDefault="00BD577F" w:rsidP="00807D73">
      <w:pPr>
        <w:pStyle w:val="Corpotesto"/>
        <w:numPr>
          <w:ilvl w:val="0"/>
          <w:numId w:val="37"/>
        </w:numPr>
        <w:spacing w:before="21"/>
        <w:rPr>
          <w:rFonts w:ascii="Times New Roman" w:hAnsi="Times New Roman" w:cs="Times New Roman"/>
          <w:b/>
          <w:bCs/>
          <w:sz w:val="24"/>
          <w:szCs w:val="24"/>
          <w:u w:val="single"/>
        </w:rPr>
      </w:pPr>
      <w:r>
        <w:rPr>
          <w:rFonts w:ascii="Times New Roman" w:hAnsi="Times New Roman" w:cs="Times New Roman"/>
          <w:b/>
          <w:bCs/>
          <w:sz w:val="24"/>
          <w:szCs w:val="24"/>
          <w:u w:val="single"/>
        </w:rPr>
        <w:t>Prezzi fissi Vs penali</w:t>
      </w:r>
    </w:p>
    <w:p w14:paraId="64569221" w14:textId="1026EB42" w:rsidR="00807D73" w:rsidRDefault="000A0B9E" w:rsidP="000C561D">
      <w:pPr>
        <w:pStyle w:val="Corpotesto"/>
        <w:spacing w:before="21"/>
        <w:rPr>
          <w:rFonts w:ascii="Times New Roman" w:hAnsi="Times New Roman" w:cs="Times New Roman"/>
          <w:sz w:val="24"/>
          <w:szCs w:val="24"/>
        </w:rPr>
      </w:pPr>
      <w:r>
        <w:rPr>
          <w:rFonts w:ascii="Times New Roman" w:hAnsi="Times New Roman" w:cs="Times New Roman"/>
          <w:sz w:val="24"/>
          <w:szCs w:val="24"/>
        </w:rPr>
        <w:t>L’offerta di prezzi fissi rappresenta uno dei maggiori servizi a valore aggiunto portato dal mercato libero a favore dei clienti finali.</w:t>
      </w:r>
    </w:p>
    <w:p w14:paraId="0BB672B9" w14:textId="3B75845F" w:rsidR="000A0B9E" w:rsidRDefault="000A0B9E" w:rsidP="000C561D">
      <w:pPr>
        <w:pStyle w:val="Corpotesto"/>
        <w:spacing w:before="21"/>
        <w:rPr>
          <w:rFonts w:ascii="Times New Roman" w:hAnsi="Times New Roman" w:cs="Times New Roman"/>
          <w:sz w:val="24"/>
          <w:szCs w:val="24"/>
        </w:rPr>
      </w:pPr>
      <w:r>
        <w:rPr>
          <w:rFonts w:ascii="Times New Roman" w:hAnsi="Times New Roman" w:cs="Times New Roman"/>
          <w:sz w:val="24"/>
          <w:szCs w:val="24"/>
        </w:rPr>
        <w:t xml:space="preserve">Il prezzo fisso consente ai clienti d di tutelarsi rispetto ad aumenti improvvisi dei prezi e/o potere prevedere con maggiore precisione </w:t>
      </w:r>
      <w:r w:rsidR="006D1AD6">
        <w:rPr>
          <w:rFonts w:ascii="Times New Roman" w:hAnsi="Times New Roman" w:cs="Times New Roman"/>
          <w:sz w:val="24"/>
          <w:szCs w:val="24"/>
        </w:rPr>
        <w:t>ai fini del budget il costo atteso della fornitura di energia.</w:t>
      </w:r>
    </w:p>
    <w:p w14:paraId="683A59AE" w14:textId="0C86B4EA" w:rsidR="004A6E07" w:rsidRDefault="004A6E07" w:rsidP="000C561D">
      <w:pPr>
        <w:pStyle w:val="Corpotesto"/>
        <w:spacing w:before="21"/>
        <w:rPr>
          <w:rFonts w:ascii="Times New Roman" w:hAnsi="Times New Roman" w:cs="Times New Roman"/>
          <w:sz w:val="24"/>
          <w:szCs w:val="24"/>
        </w:rPr>
      </w:pPr>
      <w:r>
        <w:rPr>
          <w:rFonts w:ascii="Times New Roman" w:hAnsi="Times New Roman" w:cs="Times New Roman"/>
          <w:sz w:val="24"/>
          <w:szCs w:val="24"/>
        </w:rPr>
        <w:t xml:space="preserve">I clienti in bassa tensione o con consumi inferiori a 200.000 </w:t>
      </w:r>
      <w:proofErr w:type="spellStart"/>
      <w:r>
        <w:rPr>
          <w:rFonts w:ascii="Times New Roman" w:hAnsi="Times New Roman" w:cs="Times New Roman"/>
          <w:sz w:val="24"/>
          <w:szCs w:val="24"/>
        </w:rPr>
        <w:t>smc</w:t>
      </w:r>
      <w:proofErr w:type="spellEnd"/>
      <w:r>
        <w:rPr>
          <w:rFonts w:ascii="Times New Roman" w:hAnsi="Times New Roman" w:cs="Times New Roman"/>
          <w:sz w:val="24"/>
          <w:szCs w:val="24"/>
        </w:rPr>
        <w:t xml:space="preserve"> hanno diritto di recedere dai contratti </w:t>
      </w:r>
      <w:r>
        <w:rPr>
          <w:rFonts w:ascii="Times New Roman" w:hAnsi="Times New Roman" w:cs="Times New Roman"/>
          <w:sz w:val="24"/>
          <w:szCs w:val="24"/>
        </w:rPr>
        <w:lastRenderedPageBreak/>
        <w:t>con preavviso di un mese senza alcuna penale. Solo per le forniture di energia è ammesso un complesso calcolo di penali</w:t>
      </w:r>
      <w:r>
        <w:rPr>
          <w:rFonts w:ascii="Times New Roman" w:hAnsi="Times New Roman" w:cs="Times New Roman"/>
          <w:sz w:val="24"/>
          <w:szCs w:val="24"/>
        </w:rPr>
        <w:t xml:space="preserve"> e a condizioni di difficile applicazione</w:t>
      </w:r>
      <w:r>
        <w:rPr>
          <w:rFonts w:ascii="Times New Roman" w:hAnsi="Times New Roman" w:cs="Times New Roman"/>
          <w:sz w:val="24"/>
          <w:szCs w:val="24"/>
        </w:rPr>
        <w:t>.</w:t>
      </w:r>
      <w:r w:rsidRPr="004A6E07">
        <w:rPr>
          <w:rFonts w:ascii="Times New Roman" w:hAnsi="Times New Roman" w:cs="Times New Roman"/>
          <w:sz w:val="24"/>
          <w:szCs w:val="24"/>
        </w:rPr>
        <w:t xml:space="preserve"> </w:t>
      </w:r>
      <w:r>
        <w:rPr>
          <w:rFonts w:ascii="Times New Roman" w:hAnsi="Times New Roman" w:cs="Times New Roman"/>
          <w:sz w:val="24"/>
          <w:szCs w:val="24"/>
        </w:rPr>
        <w:t>Questo espone le società di vendita ad un rischio di mercato in caso di recesso del cliente che ha firmato un prezzo fisso.</w:t>
      </w:r>
      <w:r>
        <w:rPr>
          <w:rFonts w:ascii="Times New Roman" w:hAnsi="Times New Roman" w:cs="Times New Roman"/>
          <w:sz w:val="24"/>
          <w:szCs w:val="24"/>
        </w:rPr>
        <w:t xml:space="preserve"> </w:t>
      </w:r>
      <w:r w:rsidR="00FC2385">
        <w:rPr>
          <w:rFonts w:ascii="Times New Roman" w:hAnsi="Times New Roman" w:cs="Times New Roman"/>
          <w:sz w:val="24"/>
          <w:szCs w:val="24"/>
        </w:rPr>
        <w:t xml:space="preserve">Ad ogni prezzo fisso offerto a un cliente corrisponde </w:t>
      </w:r>
      <w:r>
        <w:rPr>
          <w:rFonts w:ascii="Times New Roman" w:hAnsi="Times New Roman" w:cs="Times New Roman"/>
          <w:sz w:val="24"/>
          <w:szCs w:val="24"/>
        </w:rPr>
        <w:t xml:space="preserve">infatti </w:t>
      </w:r>
      <w:r w:rsidR="00FC2385">
        <w:rPr>
          <w:rFonts w:ascii="Times New Roman" w:hAnsi="Times New Roman" w:cs="Times New Roman"/>
          <w:sz w:val="24"/>
          <w:szCs w:val="24"/>
        </w:rPr>
        <w:t>un impegno del fornitore a</w:t>
      </w:r>
      <w:r w:rsidR="005F4FB8">
        <w:rPr>
          <w:rFonts w:ascii="Times New Roman" w:hAnsi="Times New Roman" w:cs="Times New Roman"/>
          <w:sz w:val="24"/>
          <w:szCs w:val="24"/>
        </w:rPr>
        <w:t>d</w:t>
      </w:r>
      <w:r w:rsidR="00FC2385">
        <w:rPr>
          <w:rFonts w:ascii="Times New Roman" w:hAnsi="Times New Roman" w:cs="Times New Roman"/>
          <w:sz w:val="24"/>
          <w:szCs w:val="24"/>
        </w:rPr>
        <w:t xml:space="preserve"> approvvigionarsi </w:t>
      </w:r>
      <w:r w:rsidR="00BB43C7">
        <w:rPr>
          <w:rFonts w:ascii="Times New Roman" w:hAnsi="Times New Roman" w:cs="Times New Roman"/>
          <w:sz w:val="24"/>
          <w:szCs w:val="24"/>
        </w:rPr>
        <w:t>della stessa quantità di energia a prezzo fisso per un determinato periodo.</w:t>
      </w:r>
      <w:r w:rsidR="005F4FB8">
        <w:rPr>
          <w:rFonts w:ascii="Times New Roman" w:hAnsi="Times New Roman" w:cs="Times New Roman"/>
          <w:sz w:val="24"/>
          <w:szCs w:val="24"/>
        </w:rPr>
        <w:t xml:space="preserve"> </w:t>
      </w:r>
      <w:r>
        <w:rPr>
          <w:rFonts w:ascii="Times New Roman" w:hAnsi="Times New Roman" w:cs="Times New Roman"/>
          <w:sz w:val="24"/>
          <w:szCs w:val="24"/>
        </w:rPr>
        <w:t>Il recesso del cliente può generare quindi un grave danno al fornitore che si è approvvigionato correttamente.</w:t>
      </w:r>
    </w:p>
    <w:p w14:paraId="7D8001CD" w14:textId="5D74E321" w:rsidR="006D1AD6" w:rsidRDefault="00F03EF3" w:rsidP="000C561D">
      <w:pPr>
        <w:pStyle w:val="Corpotesto"/>
        <w:spacing w:before="21"/>
        <w:rPr>
          <w:rFonts w:ascii="Times New Roman" w:hAnsi="Times New Roman" w:cs="Times New Roman"/>
          <w:sz w:val="24"/>
          <w:szCs w:val="24"/>
        </w:rPr>
      </w:pPr>
      <w:r>
        <w:rPr>
          <w:rFonts w:ascii="Times New Roman" w:hAnsi="Times New Roman" w:cs="Times New Roman"/>
          <w:sz w:val="24"/>
          <w:szCs w:val="24"/>
        </w:rPr>
        <w:t>Di conseguenza le offerte a prezzo fisso sono ridotte o a prezzi maggiorate per ricomprendere questo rischi.</w:t>
      </w:r>
    </w:p>
    <w:p w14:paraId="3DF226F1" w14:textId="34D5CD40" w:rsidR="00501CEB" w:rsidRDefault="00501CEB" w:rsidP="000C561D">
      <w:pPr>
        <w:pStyle w:val="Corpotesto"/>
        <w:spacing w:before="21"/>
        <w:rPr>
          <w:rFonts w:ascii="Times New Roman" w:hAnsi="Times New Roman" w:cs="Times New Roman"/>
          <w:sz w:val="24"/>
          <w:szCs w:val="24"/>
        </w:rPr>
      </w:pPr>
      <w:r>
        <w:rPr>
          <w:rFonts w:ascii="Times New Roman" w:hAnsi="Times New Roman" w:cs="Times New Roman"/>
          <w:sz w:val="24"/>
          <w:szCs w:val="24"/>
        </w:rPr>
        <w:t xml:space="preserve">Si </w:t>
      </w:r>
      <w:r w:rsidR="007F59A6">
        <w:rPr>
          <w:rFonts w:ascii="Times New Roman" w:hAnsi="Times New Roman" w:cs="Times New Roman"/>
          <w:sz w:val="24"/>
          <w:szCs w:val="24"/>
        </w:rPr>
        <w:t>propone</w:t>
      </w:r>
      <w:r>
        <w:rPr>
          <w:rFonts w:ascii="Times New Roman" w:hAnsi="Times New Roman" w:cs="Times New Roman"/>
          <w:sz w:val="24"/>
          <w:szCs w:val="24"/>
        </w:rPr>
        <w:t xml:space="preserve"> di ammettere anche </w:t>
      </w:r>
      <w:r w:rsidR="00066346">
        <w:rPr>
          <w:rFonts w:ascii="Times New Roman" w:hAnsi="Times New Roman" w:cs="Times New Roman"/>
          <w:sz w:val="24"/>
          <w:szCs w:val="24"/>
        </w:rPr>
        <w:t>per il gas naturale la possibilità di addebitare penali in caso di recesso anticipato del cliente</w:t>
      </w:r>
      <w:r w:rsidR="00875EEB">
        <w:rPr>
          <w:rFonts w:ascii="Times New Roman" w:hAnsi="Times New Roman" w:cs="Times New Roman"/>
          <w:sz w:val="24"/>
          <w:szCs w:val="24"/>
        </w:rPr>
        <w:t>.</w:t>
      </w:r>
    </w:p>
    <w:p w14:paraId="34674650" w14:textId="77777777" w:rsidR="00875EEB" w:rsidRDefault="00875EEB" w:rsidP="000C561D">
      <w:pPr>
        <w:pStyle w:val="Corpotesto"/>
        <w:spacing w:before="21"/>
        <w:rPr>
          <w:rFonts w:ascii="Times New Roman" w:hAnsi="Times New Roman" w:cs="Times New Roman"/>
          <w:sz w:val="24"/>
          <w:szCs w:val="24"/>
        </w:rPr>
      </w:pPr>
    </w:p>
    <w:p w14:paraId="210E0A40" w14:textId="04714705" w:rsidR="00501CEB" w:rsidRDefault="00501CEB" w:rsidP="00501CEB">
      <w:pPr>
        <w:pStyle w:val="Corpotesto"/>
        <w:numPr>
          <w:ilvl w:val="0"/>
          <w:numId w:val="37"/>
        </w:numPr>
        <w:spacing w:before="21"/>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Perimetro </w:t>
      </w:r>
      <w:r w:rsidR="00066346">
        <w:rPr>
          <w:rFonts w:ascii="Times New Roman" w:hAnsi="Times New Roman" w:cs="Times New Roman"/>
          <w:b/>
          <w:bCs/>
          <w:sz w:val="24"/>
          <w:szCs w:val="24"/>
          <w:u w:val="single"/>
        </w:rPr>
        <w:t>di tutele</w:t>
      </w:r>
    </w:p>
    <w:p w14:paraId="6B499A67" w14:textId="77777777" w:rsidR="009155EE" w:rsidRDefault="00D44BA7" w:rsidP="000C561D">
      <w:pPr>
        <w:pStyle w:val="Corpotesto"/>
        <w:spacing w:before="21"/>
        <w:rPr>
          <w:rFonts w:ascii="Times New Roman" w:hAnsi="Times New Roman" w:cs="Times New Roman"/>
          <w:sz w:val="24"/>
          <w:szCs w:val="24"/>
        </w:rPr>
      </w:pPr>
      <w:r>
        <w:rPr>
          <w:rFonts w:ascii="Times New Roman" w:hAnsi="Times New Roman" w:cs="Times New Roman"/>
          <w:sz w:val="24"/>
          <w:szCs w:val="24"/>
        </w:rPr>
        <w:t xml:space="preserve">La regolazione ARERA </w:t>
      </w:r>
      <w:r w:rsidR="00BD7383">
        <w:rPr>
          <w:rFonts w:ascii="Times New Roman" w:hAnsi="Times New Roman" w:cs="Times New Roman"/>
          <w:sz w:val="24"/>
          <w:szCs w:val="24"/>
        </w:rPr>
        <w:t xml:space="preserve">prevede </w:t>
      </w:r>
      <w:r w:rsidR="00BD7383">
        <w:rPr>
          <w:rFonts w:ascii="Times New Roman" w:hAnsi="Times New Roman" w:cs="Times New Roman"/>
          <w:sz w:val="24"/>
          <w:szCs w:val="24"/>
        </w:rPr>
        <w:t xml:space="preserve">spesso </w:t>
      </w:r>
      <w:r w:rsidR="00BD7383">
        <w:rPr>
          <w:rFonts w:ascii="Times New Roman" w:hAnsi="Times New Roman" w:cs="Times New Roman"/>
          <w:sz w:val="24"/>
          <w:szCs w:val="24"/>
        </w:rPr>
        <w:t>u</w:t>
      </w:r>
      <w:r w:rsidR="00BD7383">
        <w:rPr>
          <w:rFonts w:ascii="Times New Roman" w:hAnsi="Times New Roman" w:cs="Times New Roman"/>
          <w:sz w:val="24"/>
          <w:szCs w:val="24"/>
        </w:rPr>
        <w:t>n perimetro molto ampio di applicazione</w:t>
      </w:r>
      <w:r>
        <w:rPr>
          <w:rFonts w:ascii="Times New Roman" w:hAnsi="Times New Roman" w:cs="Times New Roman"/>
          <w:sz w:val="24"/>
          <w:szCs w:val="24"/>
        </w:rPr>
        <w:t xml:space="preserve"> </w:t>
      </w:r>
      <w:r w:rsidR="00976AA1">
        <w:rPr>
          <w:rFonts w:ascii="Times New Roman" w:hAnsi="Times New Roman" w:cs="Times New Roman"/>
          <w:sz w:val="24"/>
          <w:szCs w:val="24"/>
        </w:rPr>
        <w:t xml:space="preserve">nei testi integrati che prevedono </w:t>
      </w:r>
      <w:r w:rsidR="00BD7383">
        <w:rPr>
          <w:rFonts w:ascii="Times New Roman" w:hAnsi="Times New Roman" w:cs="Times New Roman"/>
          <w:sz w:val="24"/>
          <w:szCs w:val="24"/>
        </w:rPr>
        <w:t xml:space="preserve">tutele </w:t>
      </w:r>
      <w:r w:rsidR="00497692">
        <w:rPr>
          <w:rFonts w:ascii="Times New Roman" w:hAnsi="Times New Roman" w:cs="Times New Roman"/>
          <w:sz w:val="24"/>
          <w:szCs w:val="24"/>
        </w:rPr>
        <w:t xml:space="preserve">a favore </w:t>
      </w:r>
      <w:r w:rsidR="00BD7383">
        <w:rPr>
          <w:rFonts w:ascii="Times New Roman" w:hAnsi="Times New Roman" w:cs="Times New Roman"/>
          <w:sz w:val="24"/>
          <w:szCs w:val="24"/>
        </w:rPr>
        <w:t>dei clienti.</w:t>
      </w:r>
      <w:r>
        <w:rPr>
          <w:rFonts w:ascii="Times New Roman" w:hAnsi="Times New Roman" w:cs="Times New Roman"/>
          <w:sz w:val="24"/>
          <w:szCs w:val="24"/>
        </w:rPr>
        <w:t xml:space="preserve"> </w:t>
      </w:r>
      <w:r w:rsidR="00497692">
        <w:rPr>
          <w:rFonts w:ascii="Times New Roman" w:hAnsi="Times New Roman" w:cs="Times New Roman"/>
          <w:sz w:val="24"/>
          <w:szCs w:val="24"/>
        </w:rPr>
        <w:t xml:space="preserve">Il perimetro </w:t>
      </w:r>
      <w:r w:rsidR="007F59A6">
        <w:rPr>
          <w:rFonts w:ascii="Times New Roman" w:hAnsi="Times New Roman" w:cs="Times New Roman"/>
          <w:sz w:val="24"/>
          <w:szCs w:val="24"/>
        </w:rPr>
        <w:t>più ricorrente</w:t>
      </w:r>
      <w:r w:rsidR="000C5F04">
        <w:rPr>
          <w:rFonts w:ascii="Times New Roman" w:hAnsi="Times New Roman" w:cs="Times New Roman"/>
          <w:sz w:val="24"/>
          <w:szCs w:val="24"/>
        </w:rPr>
        <w:t xml:space="preserve">, come nel caso del codice di condotta o delle delibere riguardo al recesso, </w:t>
      </w:r>
      <w:r w:rsidR="009155EE">
        <w:rPr>
          <w:rFonts w:ascii="Times New Roman" w:hAnsi="Times New Roman" w:cs="Times New Roman"/>
          <w:sz w:val="24"/>
          <w:szCs w:val="24"/>
        </w:rPr>
        <w:t xml:space="preserve">ricomprende </w:t>
      </w:r>
      <w:r w:rsidR="000C5F04">
        <w:rPr>
          <w:rFonts w:ascii="Times New Roman" w:hAnsi="Times New Roman" w:cs="Times New Roman"/>
          <w:sz w:val="24"/>
          <w:szCs w:val="24"/>
        </w:rPr>
        <w:t>i clienti in BT e/o con consumi inferi</w:t>
      </w:r>
      <w:r w:rsidR="00E86C85">
        <w:rPr>
          <w:rFonts w:ascii="Times New Roman" w:hAnsi="Times New Roman" w:cs="Times New Roman"/>
          <w:sz w:val="24"/>
          <w:szCs w:val="24"/>
        </w:rPr>
        <w:t xml:space="preserve">ori a 200.000 </w:t>
      </w:r>
      <w:proofErr w:type="spellStart"/>
      <w:r w:rsidR="00E86C85">
        <w:rPr>
          <w:rFonts w:ascii="Times New Roman" w:hAnsi="Times New Roman" w:cs="Times New Roman"/>
          <w:sz w:val="24"/>
          <w:szCs w:val="24"/>
        </w:rPr>
        <w:t>smc</w:t>
      </w:r>
      <w:proofErr w:type="spellEnd"/>
      <w:r w:rsidR="00E86C85">
        <w:rPr>
          <w:rFonts w:ascii="Times New Roman" w:hAnsi="Times New Roman" w:cs="Times New Roman"/>
          <w:sz w:val="24"/>
          <w:szCs w:val="24"/>
        </w:rPr>
        <w:t xml:space="preserve">. </w:t>
      </w:r>
    </w:p>
    <w:p w14:paraId="269720B3" w14:textId="77777777" w:rsidR="009155EE" w:rsidRDefault="00E86C85" w:rsidP="000C561D">
      <w:pPr>
        <w:pStyle w:val="Corpotesto"/>
        <w:spacing w:before="21"/>
        <w:rPr>
          <w:rFonts w:ascii="Times New Roman" w:hAnsi="Times New Roman" w:cs="Times New Roman"/>
          <w:sz w:val="24"/>
          <w:szCs w:val="24"/>
        </w:rPr>
      </w:pPr>
      <w:r>
        <w:rPr>
          <w:rFonts w:ascii="Times New Roman" w:hAnsi="Times New Roman" w:cs="Times New Roman"/>
          <w:sz w:val="24"/>
          <w:szCs w:val="24"/>
        </w:rPr>
        <w:t>Si ritiene che tale ampio perimetro ricomprenda impropriamente soggetti</w:t>
      </w:r>
      <w:r w:rsidR="004D78DA">
        <w:rPr>
          <w:rFonts w:ascii="Times New Roman" w:hAnsi="Times New Roman" w:cs="Times New Roman"/>
          <w:sz w:val="24"/>
          <w:szCs w:val="24"/>
        </w:rPr>
        <w:t xml:space="preserve"> non meritevoli di tutele</w:t>
      </w:r>
      <w:r w:rsidR="004B3C16">
        <w:rPr>
          <w:rFonts w:ascii="Times New Roman" w:hAnsi="Times New Roman" w:cs="Times New Roman"/>
          <w:sz w:val="24"/>
          <w:szCs w:val="24"/>
        </w:rPr>
        <w:t xml:space="preserve"> (ad es. catene commerciali o banche con centinaia di </w:t>
      </w:r>
      <w:proofErr w:type="spellStart"/>
      <w:r w:rsidR="004B3C16">
        <w:rPr>
          <w:rFonts w:ascii="Times New Roman" w:hAnsi="Times New Roman" w:cs="Times New Roman"/>
          <w:sz w:val="24"/>
          <w:szCs w:val="24"/>
        </w:rPr>
        <w:t>pod</w:t>
      </w:r>
      <w:proofErr w:type="spellEnd"/>
      <w:r w:rsidR="004B3C16">
        <w:rPr>
          <w:rFonts w:ascii="Times New Roman" w:hAnsi="Times New Roman" w:cs="Times New Roman"/>
          <w:sz w:val="24"/>
          <w:szCs w:val="24"/>
        </w:rPr>
        <w:t xml:space="preserve"> in BT)</w:t>
      </w:r>
      <w:r>
        <w:rPr>
          <w:rFonts w:ascii="Times New Roman" w:hAnsi="Times New Roman" w:cs="Times New Roman"/>
          <w:sz w:val="24"/>
          <w:szCs w:val="24"/>
        </w:rPr>
        <w:t>.</w:t>
      </w:r>
      <w:r w:rsidR="004B3C16">
        <w:rPr>
          <w:rFonts w:ascii="Times New Roman" w:hAnsi="Times New Roman" w:cs="Times New Roman"/>
          <w:sz w:val="24"/>
          <w:szCs w:val="24"/>
        </w:rPr>
        <w:t xml:space="preserve"> </w:t>
      </w:r>
    </w:p>
    <w:p w14:paraId="3C1425FB" w14:textId="0ECE400F" w:rsidR="00E86C85" w:rsidRDefault="006925CD" w:rsidP="000C561D">
      <w:pPr>
        <w:pStyle w:val="Corpotesto"/>
        <w:spacing w:before="21"/>
        <w:rPr>
          <w:rFonts w:ascii="Times New Roman" w:hAnsi="Times New Roman" w:cs="Times New Roman"/>
          <w:sz w:val="24"/>
          <w:szCs w:val="24"/>
        </w:rPr>
      </w:pPr>
      <w:r>
        <w:rPr>
          <w:rFonts w:ascii="Times New Roman" w:hAnsi="Times New Roman" w:cs="Times New Roman"/>
          <w:sz w:val="24"/>
          <w:szCs w:val="24"/>
        </w:rPr>
        <w:t>S</w:t>
      </w:r>
      <w:r w:rsidR="004D78DA">
        <w:rPr>
          <w:rFonts w:ascii="Times New Roman" w:hAnsi="Times New Roman" w:cs="Times New Roman"/>
          <w:sz w:val="24"/>
          <w:szCs w:val="24"/>
        </w:rPr>
        <w:t>i</w:t>
      </w:r>
      <w:r>
        <w:rPr>
          <w:rFonts w:ascii="Times New Roman" w:hAnsi="Times New Roman" w:cs="Times New Roman"/>
          <w:sz w:val="24"/>
          <w:szCs w:val="24"/>
        </w:rPr>
        <w:t xml:space="preserve"> propone di restringere tali perimetri ai soli clienti </w:t>
      </w:r>
      <w:r w:rsidR="004D78DA">
        <w:rPr>
          <w:rFonts w:ascii="Times New Roman" w:hAnsi="Times New Roman" w:cs="Times New Roman"/>
          <w:sz w:val="24"/>
          <w:szCs w:val="24"/>
        </w:rPr>
        <w:t>domestici</w:t>
      </w:r>
      <w:r>
        <w:rPr>
          <w:rFonts w:ascii="Times New Roman" w:hAnsi="Times New Roman" w:cs="Times New Roman"/>
          <w:sz w:val="24"/>
          <w:szCs w:val="24"/>
        </w:rPr>
        <w:t xml:space="preserve"> </w:t>
      </w:r>
      <w:r w:rsidR="00DD577D">
        <w:rPr>
          <w:rFonts w:ascii="Times New Roman" w:hAnsi="Times New Roman" w:cs="Times New Roman"/>
          <w:sz w:val="24"/>
          <w:szCs w:val="24"/>
        </w:rPr>
        <w:t xml:space="preserve">o comunque di escludere le </w:t>
      </w:r>
      <w:r w:rsidR="004D78DA">
        <w:rPr>
          <w:rFonts w:ascii="Times New Roman" w:hAnsi="Times New Roman" w:cs="Times New Roman"/>
          <w:sz w:val="24"/>
          <w:szCs w:val="24"/>
        </w:rPr>
        <w:t>aziende</w:t>
      </w:r>
      <w:r w:rsidR="00DD577D">
        <w:rPr>
          <w:rFonts w:ascii="Times New Roman" w:hAnsi="Times New Roman" w:cs="Times New Roman"/>
          <w:sz w:val="24"/>
          <w:szCs w:val="24"/>
        </w:rPr>
        <w:t xml:space="preserve"> </w:t>
      </w:r>
      <w:r w:rsidR="00875EEB">
        <w:rPr>
          <w:rFonts w:ascii="Times New Roman" w:hAnsi="Times New Roman" w:cs="Times New Roman"/>
          <w:sz w:val="24"/>
          <w:szCs w:val="24"/>
        </w:rPr>
        <w:t xml:space="preserve">(anche se in BT) </w:t>
      </w:r>
      <w:r w:rsidR="00DD577D">
        <w:rPr>
          <w:rFonts w:ascii="Times New Roman" w:hAnsi="Times New Roman" w:cs="Times New Roman"/>
          <w:sz w:val="24"/>
          <w:szCs w:val="24"/>
        </w:rPr>
        <w:t>da questi perimetri di tutela</w:t>
      </w:r>
      <w:r w:rsidR="004D78DA">
        <w:rPr>
          <w:rFonts w:ascii="Times New Roman" w:hAnsi="Times New Roman" w:cs="Times New Roman"/>
          <w:sz w:val="24"/>
          <w:szCs w:val="24"/>
        </w:rPr>
        <w:t>.</w:t>
      </w:r>
    </w:p>
    <w:p w14:paraId="41FC353C" w14:textId="77777777" w:rsidR="00875EEB" w:rsidRDefault="00875EEB" w:rsidP="000C561D">
      <w:pPr>
        <w:pStyle w:val="Corpotesto"/>
        <w:spacing w:before="21"/>
        <w:rPr>
          <w:rFonts w:ascii="Times New Roman" w:hAnsi="Times New Roman" w:cs="Times New Roman"/>
          <w:sz w:val="24"/>
          <w:szCs w:val="24"/>
        </w:rPr>
      </w:pPr>
    </w:p>
    <w:p w14:paraId="5D3041AE" w14:textId="0D761DC6" w:rsidR="004334BF" w:rsidRDefault="004334BF" w:rsidP="004334BF">
      <w:pPr>
        <w:pStyle w:val="Corpotesto"/>
        <w:numPr>
          <w:ilvl w:val="0"/>
          <w:numId w:val="37"/>
        </w:numPr>
        <w:spacing w:before="21"/>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CER: dall’incentivo alla piena </w:t>
      </w:r>
      <w:proofErr w:type="spellStart"/>
      <w:r>
        <w:rPr>
          <w:rFonts w:ascii="Times New Roman" w:hAnsi="Times New Roman" w:cs="Times New Roman"/>
          <w:b/>
          <w:bCs/>
          <w:sz w:val="24"/>
          <w:szCs w:val="24"/>
          <w:u w:val="single"/>
        </w:rPr>
        <w:t>condivisionew</w:t>
      </w:r>
      <w:proofErr w:type="spellEnd"/>
      <w:r>
        <w:rPr>
          <w:rFonts w:ascii="Times New Roman" w:hAnsi="Times New Roman" w:cs="Times New Roman"/>
          <w:b/>
          <w:bCs/>
          <w:sz w:val="24"/>
          <w:szCs w:val="24"/>
          <w:u w:val="single"/>
        </w:rPr>
        <w:t xml:space="preserve"> dell’energia</w:t>
      </w:r>
    </w:p>
    <w:p w14:paraId="1DAB22AD" w14:textId="77777777" w:rsidR="00B411A2" w:rsidRPr="00B411A2" w:rsidRDefault="00B411A2" w:rsidP="00B411A2">
      <w:pPr>
        <w:pStyle w:val="Corpotesto"/>
        <w:spacing w:before="21"/>
        <w:rPr>
          <w:rFonts w:ascii="Times New Roman" w:hAnsi="Times New Roman" w:cs="Times New Roman"/>
          <w:sz w:val="24"/>
          <w:szCs w:val="24"/>
        </w:rPr>
      </w:pPr>
      <w:r w:rsidRPr="00B411A2">
        <w:rPr>
          <w:rFonts w:ascii="Times New Roman" w:hAnsi="Times New Roman" w:cs="Times New Roman"/>
          <w:sz w:val="24"/>
          <w:szCs w:val="24"/>
        </w:rPr>
        <w:t>Il gruppo MET supporta le comunità energetiche offrendo:</w:t>
      </w:r>
    </w:p>
    <w:p w14:paraId="495E1778" w14:textId="77777777" w:rsidR="00B411A2" w:rsidRPr="00B411A2" w:rsidRDefault="00B411A2" w:rsidP="00B411A2">
      <w:pPr>
        <w:pStyle w:val="Corpotesto"/>
        <w:numPr>
          <w:ilvl w:val="0"/>
          <w:numId w:val="39"/>
        </w:numPr>
        <w:spacing w:before="21"/>
        <w:rPr>
          <w:rFonts w:ascii="Times New Roman" w:hAnsi="Times New Roman" w:cs="Times New Roman"/>
          <w:sz w:val="24"/>
          <w:szCs w:val="24"/>
        </w:rPr>
      </w:pPr>
      <w:r w:rsidRPr="00B411A2">
        <w:rPr>
          <w:rFonts w:ascii="Times New Roman" w:hAnsi="Times New Roman" w:cs="Times New Roman"/>
          <w:sz w:val="24"/>
          <w:szCs w:val="24"/>
        </w:rPr>
        <w:t>Servizi in outsourcing</w:t>
      </w:r>
    </w:p>
    <w:p w14:paraId="39B74184" w14:textId="77777777" w:rsidR="00B411A2" w:rsidRPr="00B411A2" w:rsidRDefault="00B411A2" w:rsidP="00B411A2">
      <w:pPr>
        <w:pStyle w:val="Corpotesto"/>
        <w:numPr>
          <w:ilvl w:val="0"/>
          <w:numId w:val="39"/>
        </w:numPr>
        <w:spacing w:before="21"/>
        <w:rPr>
          <w:rFonts w:ascii="Times New Roman" w:hAnsi="Times New Roman" w:cs="Times New Roman"/>
          <w:sz w:val="24"/>
          <w:szCs w:val="24"/>
        </w:rPr>
      </w:pPr>
      <w:r w:rsidRPr="00B411A2">
        <w:rPr>
          <w:rFonts w:ascii="Times New Roman" w:hAnsi="Times New Roman" w:cs="Times New Roman"/>
          <w:sz w:val="24"/>
          <w:szCs w:val="24"/>
        </w:rPr>
        <w:t xml:space="preserve">Offerte di fornitura convenzionate che valorizzano maggiormente il meccanismo premiale e consentono l’accredito in bolletta della tariffa incentivante </w:t>
      </w:r>
    </w:p>
    <w:p w14:paraId="46594682" w14:textId="77777777" w:rsidR="00B411A2" w:rsidRPr="00B411A2" w:rsidRDefault="00B411A2" w:rsidP="00B411A2">
      <w:pPr>
        <w:pStyle w:val="Corpotesto"/>
        <w:numPr>
          <w:ilvl w:val="0"/>
          <w:numId w:val="39"/>
        </w:numPr>
        <w:spacing w:before="21"/>
        <w:rPr>
          <w:rFonts w:ascii="Times New Roman" w:hAnsi="Times New Roman" w:cs="Times New Roman"/>
          <w:sz w:val="24"/>
          <w:szCs w:val="24"/>
        </w:rPr>
      </w:pPr>
      <w:r w:rsidRPr="00B411A2">
        <w:rPr>
          <w:rFonts w:ascii="Times New Roman" w:hAnsi="Times New Roman" w:cs="Times New Roman"/>
          <w:sz w:val="24"/>
          <w:szCs w:val="24"/>
        </w:rPr>
        <w:t xml:space="preserve">Impianti di produzione messi nella disponibilità della </w:t>
      </w:r>
      <w:proofErr w:type="spellStart"/>
      <w:r w:rsidRPr="00B411A2">
        <w:rPr>
          <w:rFonts w:ascii="Times New Roman" w:hAnsi="Times New Roman" w:cs="Times New Roman"/>
          <w:sz w:val="24"/>
          <w:szCs w:val="24"/>
        </w:rPr>
        <w:t>cer</w:t>
      </w:r>
      <w:proofErr w:type="spellEnd"/>
      <w:r w:rsidRPr="00B411A2">
        <w:rPr>
          <w:rFonts w:ascii="Times New Roman" w:hAnsi="Times New Roman" w:cs="Times New Roman"/>
          <w:sz w:val="24"/>
          <w:szCs w:val="24"/>
        </w:rPr>
        <w:t xml:space="preserve"> come produttore terzo</w:t>
      </w:r>
    </w:p>
    <w:p w14:paraId="7C48340B" w14:textId="77777777" w:rsidR="00F77531" w:rsidRPr="00F77531" w:rsidRDefault="00F77531" w:rsidP="00F77531">
      <w:pPr>
        <w:pStyle w:val="Corpotesto"/>
        <w:spacing w:before="21"/>
        <w:rPr>
          <w:rFonts w:ascii="Times New Roman" w:hAnsi="Times New Roman" w:cs="Times New Roman"/>
          <w:sz w:val="24"/>
          <w:szCs w:val="24"/>
        </w:rPr>
      </w:pPr>
      <w:r w:rsidRPr="00F77531">
        <w:rPr>
          <w:rFonts w:ascii="Times New Roman" w:hAnsi="Times New Roman" w:cs="Times New Roman"/>
          <w:sz w:val="24"/>
          <w:szCs w:val="24"/>
        </w:rPr>
        <w:t xml:space="preserve">Si auspica una maggiore valorizzazione del potenziale delle comunità </w:t>
      </w:r>
      <w:proofErr w:type="spellStart"/>
      <w:r w:rsidRPr="00F77531">
        <w:rPr>
          <w:rFonts w:ascii="Times New Roman" w:hAnsi="Times New Roman" w:cs="Times New Roman"/>
          <w:sz w:val="24"/>
          <w:szCs w:val="24"/>
        </w:rPr>
        <w:t>energeitche</w:t>
      </w:r>
      <w:proofErr w:type="spellEnd"/>
      <w:r w:rsidRPr="00F77531">
        <w:rPr>
          <w:rFonts w:ascii="Times New Roman" w:hAnsi="Times New Roman" w:cs="Times New Roman"/>
          <w:sz w:val="24"/>
          <w:szCs w:val="24"/>
        </w:rPr>
        <w:t>:</w:t>
      </w:r>
    </w:p>
    <w:p w14:paraId="7901924A" w14:textId="77777777" w:rsidR="00F77531" w:rsidRPr="00F77531" w:rsidRDefault="00F77531" w:rsidP="00F77531">
      <w:pPr>
        <w:pStyle w:val="Corpotesto"/>
        <w:numPr>
          <w:ilvl w:val="0"/>
          <w:numId w:val="41"/>
        </w:numPr>
        <w:spacing w:before="21"/>
        <w:rPr>
          <w:rFonts w:ascii="Times New Roman" w:hAnsi="Times New Roman" w:cs="Times New Roman"/>
          <w:sz w:val="24"/>
          <w:szCs w:val="24"/>
        </w:rPr>
      </w:pPr>
      <w:r w:rsidRPr="00F77531">
        <w:rPr>
          <w:rFonts w:ascii="Times New Roman" w:hAnsi="Times New Roman" w:cs="Times New Roman"/>
          <w:sz w:val="24"/>
          <w:szCs w:val="24"/>
        </w:rPr>
        <w:t xml:space="preserve">Passaggio da una mera incentivazione ad una vera condivisione dell’energia </w:t>
      </w:r>
    </w:p>
    <w:p w14:paraId="4C560A4E" w14:textId="77777777" w:rsidR="00F77531" w:rsidRPr="00F77531" w:rsidRDefault="00F77531" w:rsidP="00F77531">
      <w:pPr>
        <w:pStyle w:val="Corpotesto"/>
        <w:numPr>
          <w:ilvl w:val="0"/>
          <w:numId w:val="41"/>
        </w:numPr>
        <w:spacing w:before="21"/>
        <w:rPr>
          <w:rFonts w:ascii="Times New Roman" w:hAnsi="Times New Roman" w:cs="Times New Roman"/>
          <w:sz w:val="24"/>
          <w:szCs w:val="24"/>
        </w:rPr>
      </w:pPr>
      <w:r w:rsidRPr="00F77531">
        <w:rPr>
          <w:rFonts w:ascii="Times New Roman" w:hAnsi="Times New Roman" w:cs="Times New Roman"/>
          <w:sz w:val="24"/>
          <w:szCs w:val="24"/>
        </w:rPr>
        <w:t>Ampliamento del perimetro alla zona di mercato</w:t>
      </w:r>
    </w:p>
    <w:p w14:paraId="1BD6420E" w14:textId="77777777" w:rsidR="00F77531" w:rsidRPr="00F77531" w:rsidRDefault="00F77531" w:rsidP="00F77531">
      <w:pPr>
        <w:pStyle w:val="Corpotesto"/>
        <w:numPr>
          <w:ilvl w:val="0"/>
          <w:numId w:val="41"/>
        </w:numPr>
        <w:spacing w:before="21"/>
        <w:rPr>
          <w:rFonts w:ascii="Times New Roman" w:hAnsi="Times New Roman" w:cs="Times New Roman"/>
          <w:sz w:val="24"/>
          <w:szCs w:val="24"/>
        </w:rPr>
      </w:pPr>
      <w:r w:rsidRPr="00F77531">
        <w:rPr>
          <w:rFonts w:ascii="Times New Roman" w:hAnsi="Times New Roman" w:cs="Times New Roman"/>
          <w:sz w:val="24"/>
          <w:szCs w:val="24"/>
        </w:rPr>
        <w:t>Scorporo in bolletta</w:t>
      </w:r>
    </w:p>
    <w:p w14:paraId="05B0E643" w14:textId="77777777" w:rsidR="00F77531" w:rsidRPr="00F77531" w:rsidRDefault="00F77531" w:rsidP="00F77531">
      <w:pPr>
        <w:pStyle w:val="Corpotesto"/>
        <w:numPr>
          <w:ilvl w:val="0"/>
          <w:numId w:val="41"/>
        </w:numPr>
        <w:spacing w:before="21"/>
        <w:rPr>
          <w:rFonts w:ascii="Times New Roman" w:hAnsi="Times New Roman" w:cs="Times New Roman"/>
          <w:sz w:val="24"/>
          <w:szCs w:val="24"/>
        </w:rPr>
      </w:pPr>
      <w:r w:rsidRPr="00F77531">
        <w:rPr>
          <w:rFonts w:ascii="Times New Roman" w:hAnsi="Times New Roman" w:cs="Times New Roman"/>
          <w:sz w:val="24"/>
          <w:szCs w:val="24"/>
        </w:rPr>
        <w:t>Aumento del limite di potenza degli impianti</w:t>
      </w:r>
    </w:p>
    <w:p w14:paraId="6D2C7277" w14:textId="096A054C" w:rsidR="004334BF" w:rsidRDefault="00F77531" w:rsidP="000C561D">
      <w:pPr>
        <w:pStyle w:val="Corpotesto"/>
        <w:spacing w:before="21"/>
        <w:rPr>
          <w:rFonts w:ascii="Times New Roman" w:hAnsi="Times New Roman" w:cs="Times New Roman"/>
          <w:sz w:val="24"/>
          <w:szCs w:val="24"/>
          <w:lang w:val="hu-HU"/>
        </w:rPr>
      </w:pPr>
      <w:r>
        <w:rPr>
          <w:rFonts w:ascii="Times New Roman" w:hAnsi="Times New Roman" w:cs="Times New Roman"/>
          <w:sz w:val="24"/>
          <w:szCs w:val="24"/>
        </w:rPr>
        <w:t xml:space="preserve">Quanto sopra in piena attuazione </w:t>
      </w:r>
      <w:r w:rsidR="009603E0">
        <w:rPr>
          <w:rFonts w:ascii="Times New Roman" w:hAnsi="Times New Roman" w:cs="Times New Roman"/>
          <w:sz w:val="24"/>
          <w:szCs w:val="24"/>
        </w:rPr>
        <w:t xml:space="preserve">di quanto disposto dalle Direttive UE: REDII </w:t>
      </w:r>
      <w:r w:rsidR="00D70CFE" w:rsidRPr="00D70CFE">
        <w:rPr>
          <w:rFonts w:ascii="Times New Roman" w:hAnsi="Times New Roman" w:cs="Times New Roman"/>
          <w:sz w:val="24"/>
          <w:szCs w:val="24"/>
        </w:rPr>
        <w:t>(EU) 2018/2001</w:t>
      </w:r>
      <w:r w:rsidR="009603E0">
        <w:rPr>
          <w:rFonts w:ascii="Times New Roman" w:hAnsi="Times New Roman" w:cs="Times New Roman"/>
          <w:sz w:val="24"/>
          <w:szCs w:val="24"/>
        </w:rPr>
        <w:t xml:space="preserve">e Direttiva mercato </w:t>
      </w:r>
      <w:r w:rsidR="00167525">
        <w:rPr>
          <w:rFonts w:ascii="Times New Roman" w:hAnsi="Times New Roman" w:cs="Times New Roman"/>
          <w:sz w:val="24"/>
          <w:szCs w:val="24"/>
        </w:rPr>
        <w:t xml:space="preserve">elettrico </w:t>
      </w:r>
      <w:r w:rsidR="00167525" w:rsidRPr="00167525">
        <w:rPr>
          <w:rFonts w:ascii="Times New Roman" w:hAnsi="Times New Roman" w:cs="Times New Roman"/>
          <w:sz w:val="24"/>
          <w:szCs w:val="24"/>
          <w:lang w:val="hu-HU"/>
        </w:rPr>
        <w:t>(EU) 2019/944</w:t>
      </w:r>
      <w:r w:rsidR="00A13FB0">
        <w:rPr>
          <w:rFonts w:ascii="Times New Roman" w:hAnsi="Times New Roman" w:cs="Times New Roman"/>
          <w:sz w:val="24"/>
          <w:szCs w:val="24"/>
          <w:lang w:val="hu-HU"/>
        </w:rPr>
        <w:t>.</w:t>
      </w:r>
    </w:p>
    <w:p w14:paraId="6C573815" w14:textId="77777777" w:rsidR="00A13FB0" w:rsidRDefault="00A13FB0" w:rsidP="000C561D">
      <w:pPr>
        <w:pStyle w:val="Corpotesto"/>
        <w:spacing w:before="21"/>
        <w:rPr>
          <w:rFonts w:ascii="Times New Roman" w:hAnsi="Times New Roman" w:cs="Times New Roman"/>
          <w:sz w:val="24"/>
          <w:szCs w:val="24"/>
          <w:lang w:val="hu-HU"/>
        </w:rPr>
      </w:pPr>
    </w:p>
    <w:p w14:paraId="10AED979" w14:textId="77777777" w:rsidR="00A13FB0" w:rsidRDefault="00A13FB0" w:rsidP="000C561D">
      <w:pPr>
        <w:pStyle w:val="Corpotesto"/>
        <w:spacing w:before="21"/>
        <w:rPr>
          <w:rFonts w:ascii="Times New Roman" w:hAnsi="Times New Roman" w:cs="Times New Roman"/>
          <w:sz w:val="24"/>
          <w:szCs w:val="24"/>
          <w:lang w:val="hu-HU"/>
        </w:rPr>
      </w:pPr>
    </w:p>
    <w:p w14:paraId="2C04F7C4" w14:textId="77777777" w:rsidR="00A13FB0" w:rsidRDefault="00A13FB0" w:rsidP="000C561D">
      <w:pPr>
        <w:pStyle w:val="Corpotesto"/>
        <w:spacing w:before="21"/>
        <w:rPr>
          <w:rFonts w:ascii="Times New Roman" w:hAnsi="Times New Roman" w:cs="Times New Roman"/>
          <w:sz w:val="24"/>
          <w:szCs w:val="24"/>
          <w:lang w:val="hu-HU"/>
        </w:rPr>
      </w:pPr>
      <w:r>
        <w:rPr>
          <w:rFonts w:ascii="Times New Roman" w:hAnsi="Times New Roman" w:cs="Times New Roman"/>
          <w:sz w:val="24"/>
          <w:szCs w:val="24"/>
          <w:lang w:val="hu-HU"/>
        </w:rPr>
        <w:t xml:space="preserve">Per contatti rif: </w:t>
      </w:r>
      <w:r>
        <w:rPr>
          <w:rFonts w:ascii="Times New Roman" w:hAnsi="Times New Roman" w:cs="Times New Roman"/>
          <w:sz w:val="24"/>
          <w:szCs w:val="24"/>
          <w:lang w:val="hu-HU"/>
        </w:rPr>
        <w:tab/>
        <w:t xml:space="preserve">Guido D’Auria </w:t>
      </w:r>
    </w:p>
    <w:p w14:paraId="3C2B5492" w14:textId="77777777" w:rsidR="00A13FB0" w:rsidRDefault="00A13FB0" w:rsidP="00A13FB0">
      <w:pPr>
        <w:pStyle w:val="Corpotesto"/>
        <w:spacing w:before="21"/>
        <w:ind w:left="1439" w:firstLine="685"/>
        <w:rPr>
          <w:rFonts w:ascii="Times New Roman" w:hAnsi="Times New Roman" w:cs="Times New Roman"/>
          <w:sz w:val="24"/>
          <w:szCs w:val="24"/>
          <w:lang w:val="hu-HU"/>
        </w:rPr>
      </w:pPr>
      <w:r>
        <w:rPr>
          <w:rFonts w:ascii="Times New Roman" w:hAnsi="Times New Roman" w:cs="Times New Roman"/>
          <w:sz w:val="24"/>
          <w:szCs w:val="24"/>
          <w:lang w:val="hu-HU"/>
        </w:rPr>
        <w:t xml:space="preserve">legal counsel </w:t>
      </w:r>
    </w:p>
    <w:p w14:paraId="217A3E55" w14:textId="06E6BE9A" w:rsidR="00A13FB0" w:rsidRDefault="00A13FB0" w:rsidP="00A13FB0">
      <w:pPr>
        <w:pStyle w:val="Corpotesto"/>
        <w:spacing w:before="21"/>
        <w:ind w:left="1439" w:firstLine="685"/>
        <w:rPr>
          <w:rFonts w:ascii="Times New Roman" w:hAnsi="Times New Roman" w:cs="Times New Roman"/>
          <w:sz w:val="24"/>
          <w:szCs w:val="24"/>
          <w:lang w:val="hu-HU"/>
        </w:rPr>
      </w:pPr>
      <w:r>
        <w:rPr>
          <w:rFonts w:ascii="Times New Roman" w:hAnsi="Times New Roman" w:cs="Times New Roman"/>
          <w:sz w:val="24"/>
          <w:szCs w:val="24"/>
          <w:lang w:val="hu-HU"/>
        </w:rPr>
        <w:t>MET Energia Italia spa</w:t>
      </w:r>
    </w:p>
    <w:p w14:paraId="4E39F85B" w14:textId="5E1FE1E1" w:rsidR="00A13FB0" w:rsidRDefault="00A13FB0" w:rsidP="00A13FB0">
      <w:pPr>
        <w:pStyle w:val="Corpotesto"/>
        <w:spacing w:before="21"/>
        <w:ind w:left="1439" w:firstLine="685"/>
        <w:rPr>
          <w:rFonts w:ascii="Times New Roman" w:hAnsi="Times New Roman" w:cs="Times New Roman"/>
          <w:sz w:val="24"/>
          <w:szCs w:val="24"/>
          <w:lang w:val="hu-HU"/>
        </w:rPr>
      </w:pPr>
      <w:hyperlink r:id="rId9" w:history="1">
        <w:r w:rsidRPr="00851E03">
          <w:rPr>
            <w:rStyle w:val="Collegamentoipertestuale"/>
            <w:rFonts w:ascii="Times New Roman" w:hAnsi="Times New Roman" w:cs="Times New Roman"/>
            <w:sz w:val="24"/>
            <w:szCs w:val="24"/>
            <w:lang w:val="hu-HU"/>
          </w:rPr>
          <w:t>Guido.dauria@met.com</w:t>
        </w:r>
      </w:hyperlink>
    </w:p>
    <w:p w14:paraId="589E71F1" w14:textId="5E7498BF" w:rsidR="00A13FB0" w:rsidRPr="00167525" w:rsidRDefault="00FB1AF6" w:rsidP="00A13FB0">
      <w:pPr>
        <w:pStyle w:val="Corpotesto"/>
        <w:spacing w:before="21"/>
        <w:ind w:left="1439" w:firstLine="685"/>
        <w:rPr>
          <w:rFonts w:ascii="Times New Roman" w:hAnsi="Times New Roman" w:cs="Times New Roman"/>
          <w:sz w:val="24"/>
          <w:szCs w:val="24"/>
        </w:rPr>
      </w:pPr>
      <w:r>
        <w:rPr>
          <w:rFonts w:ascii="Times New Roman" w:hAnsi="Times New Roman" w:cs="Times New Roman"/>
          <w:sz w:val="24"/>
          <w:szCs w:val="24"/>
          <w:lang w:val="hu-HU"/>
        </w:rPr>
        <w:t>349.0081095</w:t>
      </w:r>
    </w:p>
    <w:p w14:paraId="063A92AF" w14:textId="784413D6" w:rsidR="00450A37" w:rsidRDefault="00450A37">
      <w:pPr>
        <w:rPr>
          <w:lang w:val="it-IT"/>
        </w:rPr>
      </w:pPr>
    </w:p>
    <w:sectPr w:rsidR="00450A37" w:rsidSect="00C11E97">
      <w:headerReference w:type="default" r:id="rId10"/>
      <w:footerReference w:type="default" r:id="rId11"/>
      <w:pgSz w:w="11906" w:h="16838" w:code="9"/>
      <w:pgMar w:top="851" w:right="851" w:bottom="851" w:left="851" w:header="2268" w:footer="170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44839" w14:textId="77777777" w:rsidR="008D50A1" w:rsidRDefault="008D50A1" w:rsidP="00842FC3">
      <w:pPr>
        <w:spacing w:after="0" w:line="240" w:lineRule="auto"/>
      </w:pPr>
      <w:r>
        <w:separator/>
      </w:r>
    </w:p>
  </w:endnote>
  <w:endnote w:type="continuationSeparator" w:id="0">
    <w:p w14:paraId="68C62D21" w14:textId="77777777" w:rsidR="008D50A1" w:rsidRDefault="008D50A1" w:rsidP="00842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Gotham Book">
    <w:altName w:val="Calibri"/>
    <w:panose1 w:val="00000000000000000000"/>
    <w:charset w:val="00"/>
    <w:family w:val="modern"/>
    <w:notTrueType/>
    <w:pitch w:val="variable"/>
    <w:sig w:usb0="A10000FF" w:usb1="40000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FDD5D" w14:textId="77777777" w:rsidR="004A0B43" w:rsidRPr="00CE60D8" w:rsidRDefault="004A0B43">
    <w:pPr>
      <w:pStyle w:val="Pidipagina"/>
      <w:rPr>
        <w:sz w:val="8"/>
        <w:szCs w:val="8"/>
      </w:rPr>
    </w:pPr>
    <w:r>
      <w:rPr>
        <w:noProof/>
        <w:lang w:val="it-IT" w:eastAsia="it-IT"/>
      </w:rPr>
      <mc:AlternateContent>
        <mc:Choice Requires="wps">
          <w:drawing>
            <wp:anchor distT="45720" distB="45720" distL="114300" distR="114300" simplePos="0" relativeHeight="251663360" behindDoc="0" locked="0" layoutInCell="1" allowOverlap="1" wp14:anchorId="11E89CD1" wp14:editId="23D4B60D">
              <wp:simplePos x="0" y="0"/>
              <wp:positionH relativeFrom="column">
                <wp:posOffset>-117806</wp:posOffset>
              </wp:positionH>
              <wp:positionV relativeFrom="paragraph">
                <wp:posOffset>628650</wp:posOffset>
              </wp:positionV>
              <wp:extent cx="1502410" cy="278130"/>
              <wp:effectExtent l="0" t="0" r="0" b="0"/>
              <wp:wrapSquare wrapText="bothSides"/>
              <wp:docPr id="2"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2410" cy="278130"/>
                      </a:xfrm>
                      <a:prstGeom prst="rect">
                        <a:avLst/>
                      </a:prstGeom>
                      <a:noFill/>
                      <a:ln w="9525">
                        <a:noFill/>
                        <a:miter lim="800000"/>
                        <a:headEnd/>
                        <a:tailEnd/>
                      </a:ln>
                    </wps:spPr>
                    <wps:txbx>
                      <w:txbxContent>
                        <w:p w14:paraId="4BC04187" w14:textId="77777777" w:rsidR="004A0B43" w:rsidRPr="00315C56" w:rsidRDefault="004A0B43" w:rsidP="003977AA">
                          <w:pPr>
                            <w:pStyle w:val="BasicParagraph"/>
                            <w:spacing w:line="240" w:lineRule="auto"/>
                            <w:rPr>
                              <w:rFonts w:ascii="Arial" w:hAnsi="Arial" w:cs="Arial"/>
                              <w:sz w:val="16"/>
                              <w:szCs w:val="16"/>
                            </w:rPr>
                          </w:pPr>
                          <w:r w:rsidRPr="00363070">
                            <w:rPr>
                              <w:rFonts w:ascii="Arial" w:hAnsi="Arial" w:cs="Arial"/>
                              <w:b/>
                              <w:bCs/>
                              <w:color w:val="005A70" w:themeColor="text2"/>
                              <w:sz w:val="16"/>
                              <w:szCs w:val="16"/>
                              <w:lang w:val="de-DE"/>
                            </w:rPr>
                            <w:fldChar w:fldCharType="begin"/>
                          </w:r>
                          <w:r w:rsidRPr="00363070">
                            <w:rPr>
                              <w:rFonts w:ascii="Arial" w:hAnsi="Arial" w:cs="Arial"/>
                              <w:b/>
                              <w:bCs/>
                              <w:color w:val="005A70" w:themeColor="text2"/>
                              <w:sz w:val="16"/>
                              <w:szCs w:val="16"/>
                              <w:lang w:val="de-DE"/>
                            </w:rPr>
                            <w:instrText>PAGE   \* MERGEFORMAT</w:instrText>
                          </w:r>
                          <w:r w:rsidRPr="00363070">
                            <w:rPr>
                              <w:rFonts w:ascii="Arial" w:hAnsi="Arial" w:cs="Arial"/>
                              <w:b/>
                              <w:bCs/>
                              <w:color w:val="005A70" w:themeColor="text2"/>
                              <w:sz w:val="16"/>
                              <w:szCs w:val="16"/>
                              <w:lang w:val="de-DE"/>
                            </w:rPr>
                            <w:fldChar w:fldCharType="separate"/>
                          </w:r>
                          <w:r>
                            <w:rPr>
                              <w:rFonts w:ascii="Arial" w:hAnsi="Arial" w:cs="Arial"/>
                              <w:b/>
                              <w:bCs/>
                              <w:noProof/>
                              <w:color w:val="005A70" w:themeColor="text2"/>
                              <w:sz w:val="16"/>
                              <w:szCs w:val="16"/>
                              <w:lang w:val="de-DE"/>
                            </w:rPr>
                            <w:t>1</w:t>
                          </w:r>
                          <w:r w:rsidRPr="00363070">
                            <w:rPr>
                              <w:rFonts w:ascii="Arial" w:hAnsi="Arial" w:cs="Arial"/>
                              <w:b/>
                              <w:bCs/>
                              <w:color w:val="005A70" w:themeColor="text2"/>
                              <w:sz w:val="16"/>
                              <w:szCs w:val="16"/>
                              <w:lang w:val="de-DE"/>
                            </w:rPr>
                            <w:fldChar w:fldCharType="end"/>
                          </w:r>
                        </w:p>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11E89CD1" id="_x0000_t202" coordsize="21600,21600" o:spt="202" path="m,l,21600r21600,l21600,xe">
              <v:stroke joinstyle="miter"/>
              <v:path gradientshapeok="t" o:connecttype="rect"/>
            </v:shapetype>
            <v:shape id="_x0000_s1028" type="#_x0000_t202" style="position:absolute;margin-left:-9.3pt;margin-top:49.5pt;width:118.3pt;height:21.9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" filled="f" stroked="f">
              <v:textbox>
                <w:txbxContent>
                  <w:p w14:paraId="4BC04187" w14:textId="77777777" w:rsidR="004A0B43" w:rsidRPr="00315C56" w:rsidRDefault="004A0B43" w:rsidP="003977AA">
                    <w:pPr>
                      <w:pStyle w:val="BasicParagraph"/>
                      <w:spacing w:line="240" w:lineRule="auto"/>
                      <w:rPr>
                        <w:rFonts w:ascii="Arial" w:hAnsi="Arial" w:cs="Arial"/>
                        <w:sz w:val="16"/>
                        <w:szCs w:val="16"/>
                      </w:rPr>
                    </w:pPr>
                    <w:r w:rsidRPr="00363070">
                      <w:rPr>
                        <w:rFonts w:ascii="Arial" w:hAnsi="Arial" w:cs="Arial"/>
                        <w:b/>
                        <w:bCs/>
                        <w:color w:val="005A70" w:themeColor="text2"/>
                        <w:sz w:val="16"/>
                        <w:szCs w:val="16"/>
                        <w:lang w:val="de-DE"/>
                      </w:rPr>
                      <w:fldChar w:fldCharType="begin"/>
                    </w:r>
                    <w:r w:rsidRPr="00363070">
                      <w:rPr>
                        <w:rFonts w:ascii="Arial" w:hAnsi="Arial" w:cs="Arial"/>
                        <w:b/>
                        <w:bCs/>
                        <w:color w:val="005A70" w:themeColor="text2"/>
                        <w:sz w:val="16"/>
                        <w:szCs w:val="16"/>
                        <w:lang w:val="de-DE"/>
                      </w:rPr>
                      <w:instrText>PAGE   \* MERGEFORMAT</w:instrText>
                    </w:r>
                    <w:r w:rsidRPr="00363070">
                      <w:rPr>
                        <w:rFonts w:ascii="Arial" w:hAnsi="Arial" w:cs="Arial"/>
                        <w:b/>
                        <w:bCs/>
                        <w:color w:val="005A70" w:themeColor="text2"/>
                        <w:sz w:val="16"/>
                        <w:szCs w:val="16"/>
                        <w:lang w:val="de-DE"/>
                      </w:rPr>
                      <w:fldChar w:fldCharType="separate"/>
                    </w:r>
                    <w:r>
                      <w:rPr>
                        <w:rFonts w:ascii="Arial" w:hAnsi="Arial" w:cs="Arial"/>
                        <w:b/>
                        <w:bCs/>
                        <w:noProof/>
                        <w:color w:val="005A70" w:themeColor="text2"/>
                        <w:sz w:val="16"/>
                        <w:szCs w:val="16"/>
                        <w:lang w:val="de-DE"/>
                      </w:rPr>
                      <w:t>1</w:t>
                    </w:r>
                    <w:r w:rsidRPr="00363070">
                      <w:rPr>
                        <w:rFonts w:ascii="Arial" w:hAnsi="Arial" w:cs="Arial"/>
                        <w:b/>
                        <w:bCs/>
                        <w:color w:val="005A70" w:themeColor="text2"/>
                        <w:sz w:val="16"/>
                        <w:szCs w:val="16"/>
                        <w:lang w:val="de-DE"/>
                      </w:rPr>
                      <w:fldChar w:fldCharType="end"/>
                    </w:r>
                  </w:p>
                </w:txbxContent>
              </v:textbox>
              <w10:wrap type="square"/>
            </v:shape>
          </w:pict>
        </mc:Fallback>
      </mc:AlternateContent>
    </w:r>
    <w:r>
      <w:rPr>
        <w:noProof/>
        <w:lang w:val="it-IT" w:eastAsia="it-IT"/>
      </w:rPr>
      <mc:AlternateContent>
        <mc:Choice Requires="wps">
          <w:drawing>
            <wp:anchor distT="45720" distB="45720" distL="114300" distR="114300" simplePos="0" relativeHeight="251662336" behindDoc="0" locked="0" layoutInCell="1" allowOverlap="1" wp14:anchorId="3258C613" wp14:editId="12B386F8">
              <wp:simplePos x="0" y="0"/>
              <wp:positionH relativeFrom="column">
                <wp:posOffset>3999865</wp:posOffset>
              </wp:positionH>
              <wp:positionV relativeFrom="paragraph">
                <wp:posOffset>299720</wp:posOffset>
              </wp:positionV>
              <wp:extent cx="2730500" cy="641350"/>
              <wp:effectExtent l="0" t="0" r="0" b="6350"/>
              <wp:wrapSquare wrapText="bothSides"/>
              <wp:docPr id="4"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641350"/>
                      </a:xfrm>
                      <a:prstGeom prst="rect">
                        <a:avLst/>
                      </a:prstGeom>
                      <a:noFill/>
                      <a:ln w="9525">
                        <a:noFill/>
                        <a:miter lim="800000"/>
                        <a:headEnd/>
                        <a:tailEnd/>
                      </a:ln>
                    </wps:spPr>
                    <wps:txbx>
                      <w:txbxContent>
                        <w:p w14:paraId="4B73963C" w14:textId="77777777" w:rsidR="004A0B43" w:rsidRDefault="004A0B43" w:rsidP="006832C3">
                          <w:r>
                            <w:object w:dxaOrig="3982" w:dyaOrig="780" w14:anchorId="4018CE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98.7pt;height:39pt">
                                <v:imagedata r:id="rId1" o:title=""/>
                              </v:shape>
                              <o:OLEObject Type="Embed" ProgID="CorelDraw.Graphic.19" ShapeID="_x0000_i1028" DrawAspect="Content" ObjectID="_1844572331" r:id="rId2"/>
                            </w:objec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58C613" id="_x0000_s1029" type="#_x0000_t202" style="position:absolute;margin-left:314.95pt;margin-top:23.6pt;width:215pt;height:50.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" filled="f" stroked="f">
              <v:textbox>
                <w:txbxContent>
                  <w:p w14:paraId="4B73963C" w14:textId="77777777" w:rsidR="004A0B43" w:rsidRDefault="004A0B43" w:rsidP="006832C3">
                    <w:r>
                      <w:object w:dxaOrig="3982" w:dyaOrig="780" w14:anchorId="4018CE08">
                        <v:shape id="_x0000_i1028" type="#_x0000_t75" style="width:198.7pt;height:39pt">
                          <v:imagedata r:id="rId1" o:title=""/>
                        </v:shape>
                        <o:OLEObject Type="Embed" ProgID="CorelDraw.Graphic.19" ShapeID="_x0000_i1028" DrawAspect="Content" ObjectID="_1844572331" r:id="rId3"/>
                      </w:objec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2861B" w14:textId="77777777" w:rsidR="008D50A1" w:rsidRDefault="008D50A1" w:rsidP="00842FC3">
      <w:pPr>
        <w:spacing w:after="0" w:line="240" w:lineRule="auto"/>
      </w:pPr>
      <w:r>
        <w:separator/>
      </w:r>
    </w:p>
  </w:footnote>
  <w:footnote w:type="continuationSeparator" w:id="0">
    <w:p w14:paraId="2F38DDF3" w14:textId="77777777" w:rsidR="008D50A1" w:rsidRDefault="008D50A1" w:rsidP="00842FC3">
      <w:pPr>
        <w:spacing w:after="0" w:line="240" w:lineRule="auto"/>
      </w:pPr>
      <w:r>
        <w:continuationSeparator/>
      </w:r>
    </w:p>
  </w:footnote>
  <w:footnote w:id="1">
    <w:p w14:paraId="021DBEDC" w14:textId="3939E2B2" w:rsidR="006C3D91" w:rsidRPr="006C3D91" w:rsidRDefault="006C3D91">
      <w:pPr>
        <w:pStyle w:val="Testonotaapidipagina"/>
        <w:rPr>
          <w:lang w:val="en-GB"/>
        </w:rPr>
      </w:pPr>
      <w:r>
        <w:rPr>
          <w:rStyle w:val="Rimandonotaapidipagina"/>
        </w:rPr>
        <w:footnoteRef/>
      </w:r>
      <w:r w:rsidRPr="006C3D91">
        <w:rPr>
          <w:lang w:val="en-GB"/>
        </w:rPr>
        <w:t xml:space="preserve"> </w:t>
      </w:r>
      <w:r w:rsidRPr="006733F9">
        <w:rPr>
          <w:lang w:val="hu-HU"/>
        </w:rPr>
        <w:t xml:space="preserve">Delibera ARERA 166/2013/R/COM  </w:t>
      </w:r>
    </w:p>
  </w:footnote>
  <w:footnote w:id="2">
    <w:p w14:paraId="06FF87F6" w14:textId="31FCE802" w:rsidR="00420FCE" w:rsidRPr="00420FCE" w:rsidRDefault="00420FCE">
      <w:pPr>
        <w:pStyle w:val="Testonotaapidipagina"/>
        <w:rPr>
          <w:sz w:val="18"/>
          <w:szCs w:val="18"/>
          <w:lang w:val="en-GB"/>
        </w:rPr>
      </w:pPr>
      <w:r w:rsidRPr="00420FCE">
        <w:rPr>
          <w:rStyle w:val="Rimandonotaapidipagina"/>
          <w:sz w:val="18"/>
          <w:szCs w:val="18"/>
        </w:rPr>
        <w:footnoteRef/>
      </w:r>
      <w:r w:rsidRPr="00420FCE">
        <w:rPr>
          <w:sz w:val="18"/>
          <w:szCs w:val="18"/>
          <w:lang w:val="en-GB"/>
        </w:rPr>
        <w:t xml:space="preserve"> </w:t>
      </w:r>
      <w:r w:rsidRPr="00420FCE">
        <w:rPr>
          <w:sz w:val="18"/>
          <w:szCs w:val="18"/>
          <w:lang w:val="hu-HU"/>
        </w:rPr>
        <w:t xml:space="preserve">COMMISSION </w:t>
      </w:r>
      <w:r w:rsidRPr="00420FCE">
        <w:rPr>
          <w:sz w:val="18"/>
          <w:szCs w:val="18"/>
          <w:lang w:val="hu-HU"/>
        </w:rPr>
        <w:t>RECOMMENDATION C(2026) 2851 final of 30.4.2026 on supplier risk management.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C2AD0" w14:textId="000BCBBF" w:rsidR="004A0B43" w:rsidRPr="00CE60D8" w:rsidRDefault="004A0B43" w:rsidP="00325FFE">
    <w:pPr>
      <w:pStyle w:val="Intestazione"/>
      <w:tabs>
        <w:tab w:val="clear" w:pos="4536"/>
        <w:tab w:val="clear" w:pos="9072"/>
        <w:tab w:val="left" w:pos="4425"/>
      </w:tabs>
      <w:rPr>
        <w:sz w:val="8"/>
        <w:szCs w:val="8"/>
      </w:rPr>
    </w:pPr>
    <w:r>
      <w:rPr>
        <w:noProof/>
        <w:lang w:val="it-IT" w:eastAsia="it-IT"/>
      </w:rPr>
      <mc:AlternateContent>
        <mc:Choice Requires="wps">
          <w:drawing>
            <wp:anchor distT="45720" distB="45720" distL="114300" distR="114300" simplePos="0" relativeHeight="251664384" behindDoc="0" locked="0" layoutInCell="1" allowOverlap="1" wp14:anchorId="4D170C4A" wp14:editId="5F940E7D">
              <wp:simplePos x="0" y="0"/>
              <wp:positionH relativeFrom="column">
                <wp:posOffset>-330200</wp:posOffset>
              </wp:positionH>
              <wp:positionV relativeFrom="paragraph">
                <wp:posOffset>-1144905</wp:posOffset>
              </wp:positionV>
              <wp:extent cx="935990" cy="647700"/>
              <wp:effectExtent l="0" t="0" r="0" b="0"/>
              <wp:wrapSquare wrapText="bothSides"/>
              <wp:docPr id="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990" cy="647700"/>
                      </a:xfrm>
                      <a:prstGeom prst="rect">
                        <a:avLst/>
                      </a:prstGeom>
                      <a:noFill/>
                      <a:ln w="9525">
                        <a:noFill/>
                        <a:miter lim="800000"/>
                        <a:headEnd/>
                        <a:tailEnd/>
                      </a:ln>
                    </wps:spPr>
                    <wps:txbx>
                      <w:txbxContent>
                        <w:p w14:paraId="4F3CAE68" w14:textId="77777777" w:rsidR="004A0B43" w:rsidRPr="00842FC3" w:rsidRDefault="004A0B43" w:rsidP="00206F36">
                          <w:pPr>
                            <w:spacing w:line="240" w:lineRule="auto"/>
                            <w:rPr>
                              <w:rFonts w:ascii="Gotham Book" w:hAnsi="Gotham Book"/>
                            </w:rPr>
                          </w:pPr>
                          <w:r>
                            <w:object w:dxaOrig="2611" w:dyaOrig="1840" w14:anchorId="756BB5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2.7pt;height:51.8pt">
                                <v:imagedata r:id="rId1" o:title=""/>
                              </v:shape>
                              <o:OLEObject Type="Embed" ProgID="CorelDraw.Graphic.19" ShapeID="_x0000_i1026" DrawAspect="Content" ObjectID="_1844572330" r:id="rId2"/>
                            </w:object>
                          </w:r>
                        </w:p>
                      </w:txbxContent>
                    </wps:txbx>
                    <wps:bodyPr rot="0" vert="horz" wrap="non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D170C4A" id="_x0000_t202" coordsize="21600,21600" o:spt="202" path="m,l,21600r21600,l21600,xe">
              <v:stroke joinstyle="miter"/>
              <v:path gradientshapeok="t" o:connecttype="rect"/>
            </v:shapetype>
            <v:shape id="Szövegdoboz 2" o:spid="_x0000_s1026" type="#_x0000_t202" style="position:absolute;margin-left:-26pt;margin-top:-90.15pt;width:73.7pt;height:51pt;z-index:251664384;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" filled="f" stroked="f">
              <v:textbox style="mso-fit-shape-to-text:t">
                <w:txbxContent>
                  <w:p w14:paraId="4F3CAE68" w14:textId="77777777" w:rsidR="004A0B43" w:rsidRPr="00842FC3" w:rsidRDefault="004A0B43" w:rsidP="00206F36">
                    <w:pPr>
                      <w:spacing w:line="240" w:lineRule="auto"/>
                      <w:rPr>
                        <w:rFonts w:ascii="Gotham Book" w:hAnsi="Gotham Book"/>
                      </w:rPr>
                    </w:pPr>
                    <w:r>
                      <w:object w:dxaOrig="2611" w:dyaOrig="1840" w14:anchorId="756BB557">
                        <v:shape id="_x0000_i1026" type="#_x0000_t75" style="width:72.7pt;height:51.8pt">
                          <v:imagedata r:id="rId1" o:title=""/>
                        </v:shape>
                        <o:OLEObject Type="Embed" ProgID="CorelDraw.Graphic.19" ShapeID="_x0000_i1026" DrawAspect="Content" ObjectID="_1844572330" r:id="rId3"/>
                      </w:object>
                    </w:r>
                  </w:p>
                </w:txbxContent>
              </v:textbox>
              <w10:wrap type="square"/>
            </v:shape>
          </w:pict>
        </mc:Fallback>
      </mc:AlternateContent>
    </w:r>
    <w:r>
      <w:rPr>
        <w:noProof/>
        <w:lang w:val="it-IT" w:eastAsia="it-IT"/>
      </w:rPr>
      <mc:AlternateContent>
        <mc:Choice Requires="wps">
          <w:drawing>
            <wp:anchor distT="45720" distB="45720" distL="114300" distR="114300" simplePos="0" relativeHeight="251659264" behindDoc="0" locked="0" layoutInCell="1" allowOverlap="1" wp14:anchorId="00B3F845" wp14:editId="13481CC7">
              <wp:simplePos x="0" y="0"/>
              <wp:positionH relativeFrom="column">
                <wp:posOffset>878205</wp:posOffset>
              </wp:positionH>
              <wp:positionV relativeFrom="paragraph">
                <wp:posOffset>-1045210</wp:posOffset>
              </wp:positionV>
              <wp:extent cx="2496185" cy="713105"/>
              <wp:effectExtent l="0" t="0" r="0" b="0"/>
              <wp:wrapSquare wrapText="bothSides"/>
              <wp:docPr id="21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6185" cy="713105"/>
                      </a:xfrm>
                      <a:prstGeom prst="rect">
                        <a:avLst/>
                      </a:prstGeom>
                      <a:noFill/>
                      <a:ln w="9525">
                        <a:noFill/>
                        <a:miter lim="800000"/>
                        <a:headEnd/>
                        <a:tailEnd/>
                      </a:ln>
                    </wps:spPr>
                    <wps:txbx>
                      <w:txbxContent>
                        <w:p w14:paraId="00476ADF" w14:textId="77777777" w:rsidR="004A0B43" w:rsidRPr="00191498" w:rsidRDefault="004A0B43" w:rsidP="00325FFE">
                          <w:pPr>
                            <w:pStyle w:val="BasicParagraph"/>
                            <w:spacing w:line="240" w:lineRule="auto"/>
                            <w:rPr>
                              <w:rFonts w:ascii="Arial" w:hAnsi="Arial" w:cs="Arial"/>
                              <w:color w:val="000000" w:themeColor="text1"/>
                              <w:sz w:val="16"/>
                              <w:szCs w:val="16"/>
                              <w:lang w:val="it-IT"/>
                            </w:rPr>
                          </w:pPr>
                          <w:r w:rsidRPr="00191498">
                            <w:rPr>
                              <w:rFonts w:ascii="Arial" w:hAnsi="Arial" w:cs="Arial"/>
                              <w:b/>
                              <w:bCs/>
                              <w:color w:val="005A70" w:themeColor="text2"/>
                              <w:sz w:val="16"/>
                              <w:szCs w:val="16"/>
                              <w:lang w:val="it-IT"/>
                            </w:rPr>
                            <w:t>MET Energia Italia S.p.A.</w:t>
                          </w:r>
                          <w:r w:rsidRPr="00191498">
                            <w:rPr>
                              <w:rFonts w:ascii="Arial" w:hAnsi="Arial" w:cs="Arial"/>
                              <w:b/>
                              <w:bCs/>
                              <w:color w:val="005A70" w:themeColor="text2"/>
                              <w:sz w:val="16"/>
                              <w:szCs w:val="16"/>
                              <w:lang w:val="it-IT"/>
                            </w:rPr>
                            <w:br/>
                          </w:r>
                          <w:r w:rsidRPr="00191498">
                            <w:rPr>
                              <w:rFonts w:ascii="Arial" w:hAnsi="Arial" w:cs="Arial"/>
                              <w:color w:val="000000" w:themeColor="text1"/>
                              <w:sz w:val="16"/>
                              <w:szCs w:val="16"/>
                              <w:lang w:val="it-IT"/>
                            </w:rPr>
                            <w:t>Viale</w:t>
                          </w:r>
                          <w:r>
                            <w:rPr>
                              <w:rFonts w:ascii="Arial" w:hAnsi="Arial" w:cs="Arial"/>
                              <w:color w:val="000000" w:themeColor="text1"/>
                              <w:sz w:val="16"/>
                              <w:szCs w:val="16"/>
                              <w:lang w:val="it-IT"/>
                            </w:rPr>
                            <w:t xml:space="preserve"> Francesco</w:t>
                          </w:r>
                          <w:r w:rsidRPr="00191498">
                            <w:rPr>
                              <w:rFonts w:ascii="Arial" w:hAnsi="Arial" w:cs="Arial"/>
                              <w:color w:val="000000" w:themeColor="text1"/>
                              <w:sz w:val="16"/>
                              <w:szCs w:val="16"/>
                              <w:lang w:val="it-IT"/>
                            </w:rPr>
                            <w:t xml:space="preserve"> Restelli</w:t>
                          </w:r>
                          <w:r>
                            <w:rPr>
                              <w:rFonts w:ascii="Arial" w:hAnsi="Arial" w:cs="Arial"/>
                              <w:color w:val="000000" w:themeColor="text1"/>
                              <w:sz w:val="16"/>
                              <w:szCs w:val="16"/>
                              <w:lang w:val="it-IT"/>
                            </w:rPr>
                            <w:t>, 3/7 -</w:t>
                          </w:r>
                          <w:r w:rsidRPr="00191498">
                            <w:rPr>
                              <w:rFonts w:ascii="Arial" w:hAnsi="Arial" w:cs="Arial"/>
                              <w:color w:val="000000" w:themeColor="text1"/>
                              <w:sz w:val="16"/>
                              <w:szCs w:val="16"/>
                              <w:lang w:val="it-IT"/>
                            </w:rPr>
                            <w:t xml:space="preserve"> 20124 Milan</w:t>
                          </w:r>
                          <w:r>
                            <w:rPr>
                              <w:rFonts w:ascii="Arial" w:hAnsi="Arial" w:cs="Arial"/>
                              <w:color w:val="000000" w:themeColor="text1"/>
                              <w:sz w:val="16"/>
                              <w:szCs w:val="16"/>
                              <w:lang w:val="it-IT"/>
                            </w:rPr>
                            <w:t>o (MI)</w:t>
                          </w:r>
                        </w:p>
                        <w:p w14:paraId="4EDB9EFD" w14:textId="77777777" w:rsidR="004A0B43" w:rsidRPr="00A93D15" w:rsidRDefault="004A0B43" w:rsidP="00325FFE">
                          <w:pPr>
                            <w:pStyle w:val="BasicParagraph"/>
                            <w:spacing w:line="240" w:lineRule="auto"/>
                            <w:rPr>
                              <w:rFonts w:ascii="Arial" w:hAnsi="Arial" w:cs="Arial"/>
                              <w:color w:val="000000" w:themeColor="text1"/>
                              <w:sz w:val="16"/>
                              <w:szCs w:val="16"/>
                              <w:lang w:val="it-IT"/>
                            </w:rPr>
                          </w:pPr>
                          <w:r w:rsidRPr="00A93D15">
                            <w:rPr>
                              <w:rFonts w:ascii="Arial" w:hAnsi="Arial" w:cs="Arial"/>
                              <w:color w:val="000000" w:themeColor="text1"/>
                              <w:sz w:val="16"/>
                              <w:szCs w:val="16"/>
                              <w:lang w:val="it-IT"/>
                            </w:rPr>
                            <w:t>C.F. e P.IVA  09985750968</w:t>
                          </w:r>
                        </w:p>
                        <w:p w14:paraId="5A6F2FAB" w14:textId="77777777" w:rsidR="004A0B43" w:rsidRPr="00F331F2" w:rsidRDefault="004A0B43" w:rsidP="00325FFE">
                          <w:pPr>
                            <w:pStyle w:val="BasicParagraph"/>
                            <w:spacing w:line="240" w:lineRule="auto"/>
                            <w:rPr>
                              <w:rFonts w:ascii="Arial" w:hAnsi="Arial" w:cs="Arial"/>
                              <w:color w:val="000000" w:themeColor="text1"/>
                              <w:sz w:val="16"/>
                              <w:szCs w:val="16"/>
                              <w:lang w:val="it-IT"/>
                            </w:rPr>
                          </w:pPr>
                          <w:r w:rsidRPr="00F331F2">
                            <w:rPr>
                              <w:rFonts w:ascii="Arial" w:hAnsi="Arial" w:cs="Arial"/>
                              <w:color w:val="000000" w:themeColor="text1"/>
                              <w:sz w:val="16"/>
                              <w:szCs w:val="16"/>
                              <w:lang w:val="it-IT"/>
                            </w:rPr>
                            <w:t>Societ</w:t>
                          </w:r>
                          <w:r>
                            <w:rPr>
                              <w:rFonts w:ascii="Arial" w:hAnsi="Arial" w:cs="Arial"/>
                              <w:color w:val="000000" w:themeColor="text1"/>
                              <w:sz w:val="16"/>
                              <w:szCs w:val="16"/>
                              <w:lang w:val="it-IT"/>
                            </w:rPr>
                            <w:t>à</w:t>
                          </w:r>
                          <w:r w:rsidRPr="00F331F2">
                            <w:rPr>
                              <w:rFonts w:ascii="Arial" w:hAnsi="Arial" w:cs="Arial"/>
                              <w:color w:val="000000" w:themeColor="text1"/>
                              <w:sz w:val="16"/>
                              <w:szCs w:val="16"/>
                              <w:lang w:val="it-IT"/>
                            </w:rPr>
                            <w:t xml:space="preserve"> per azioni a Socio Unico</w:t>
                          </w:r>
                        </w:p>
                        <w:p w14:paraId="7684A097" w14:textId="77777777" w:rsidR="004A0B43" w:rsidRPr="00F331F2" w:rsidRDefault="004A0B43" w:rsidP="00325FFE">
                          <w:pPr>
                            <w:pStyle w:val="BasicParagraph"/>
                            <w:spacing w:line="240" w:lineRule="auto"/>
                            <w:rPr>
                              <w:rFonts w:ascii="Arial" w:hAnsi="Arial" w:cs="Arial"/>
                              <w:b/>
                              <w:bCs/>
                              <w:color w:val="005A70" w:themeColor="text2"/>
                              <w:sz w:val="16"/>
                              <w:szCs w:val="16"/>
                              <w:lang w:val="it-IT"/>
                            </w:rPr>
                          </w:pPr>
                          <w:bookmarkStart w:id="0" w:name="_Hlk510545557"/>
                          <w:r w:rsidRPr="00F331F2">
                            <w:rPr>
                              <w:rFonts w:ascii="Arial" w:hAnsi="Arial" w:cs="Arial"/>
                              <w:b/>
                              <w:bCs/>
                              <w:color w:val="005A70" w:themeColor="text2"/>
                              <w:sz w:val="16"/>
                              <w:szCs w:val="16"/>
                              <w:lang w:val="it-IT"/>
                            </w:rPr>
                            <w:t>www.MET.com</w:t>
                          </w:r>
                        </w:p>
                        <w:bookmarkEnd w:id="0"/>
                        <w:p w14:paraId="5911A928" w14:textId="77777777" w:rsidR="004A0B43" w:rsidRPr="004E7592" w:rsidRDefault="004A0B43" w:rsidP="004E7592">
                          <w:pPr>
                            <w:pStyle w:val="BasicParagraph"/>
                            <w:spacing w:line="240" w:lineRule="auto"/>
                            <w:rPr>
                              <w:rFonts w:ascii="Gotham Book" w:hAnsi="Gotham Book"/>
                              <w:sz w:val="16"/>
                              <w:szCs w:val="16"/>
                              <w:lang w:val="hu-HU"/>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3F845" id="_x0000_s1027" type="#_x0000_t202" style="position:absolute;margin-left:69.15pt;margin-top:-82.3pt;width:196.55pt;height:56.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" filled="f" stroked="f">
              <v:textbox>
                <w:txbxContent>
                  <w:p w14:paraId="00476ADF" w14:textId="77777777" w:rsidR="004A0B43" w:rsidRPr="00191498" w:rsidRDefault="004A0B43" w:rsidP="00325FFE">
                    <w:pPr>
                      <w:pStyle w:val="BasicParagraph"/>
                      <w:spacing w:line="240" w:lineRule="auto"/>
                      <w:rPr>
                        <w:rFonts w:ascii="Arial" w:hAnsi="Arial" w:cs="Arial"/>
                        <w:color w:val="000000" w:themeColor="text1"/>
                        <w:sz w:val="16"/>
                        <w:szCs w:val="16"/>
                        <w:lang w:val="it-IT"/>
                      </w:rPr>
                    </w:pPr>
                    <w:r w:rsidRPr="00191498">
                      <w:rPr>
                        <w:rFonts w:ascii="Arial" w:hAnsi="Arial" w:cs="Arial"/>
                        <w:b/>
                        <w:bCs/>
                        <w:color w:val="005A70" w:themeColor="text2"/>
                        <w:sz w:val="16"/>
                        <w:szCs w:val="16"/>
                        <w:lang w:val="it-IT"/>
                      </w:rPr>
                      <w:t>MET Energia Italia S.p.A.</w:t>
                    </w:r>
                    <w:r w:rsidRPr="00191498">
                      <w:rPr>
                        <w:rFonts w:ascii="Arial" w:hAnsi="Arial" w:cs="Arial"/>
                        <w:b/>
                        <w:bCs/>
                        <w:color w:val="005A70" w:themeColor="text2"/>
                        <w:sz w:val="16"/>
                        <w:szCs w:val="16"/>
                        <w:lang w:val="it-IT"/>
                      </w:rPr>
                      <w:br/>
                    </w:r>
                    <w:r w:rsidRPr="00191498">
                      <w:rPr>
                        <w:rFonts w:ascii="Arial" w:hAnsi="Arial" w:cs="Arial"/>
                        <w:color w:val="000000" w:themeColor="text1"/>
                        <w:sz w:val="16"/>
                        <w:szCs w:val="16"/>
                        <w:lang w:val="it-IT"/>
                      </w:rPr>
                      <w:t>Viale</w:t>
                    </w:r>
                    <w:r>
                      <w:rPr>
                        <w:rFonts w:ascii="Arial" w:hAnsi="Arial" w:cs="Arial"/>
                        <w:color w:val="000000" w:themeColor="text1"/>
                        <w:sz w:val="16"/>
                        <w:szCs w:val="16"/>
                        <w:lang w:val="it-IT"/>
                      </w:rPr>
                      <w:t xml:space="preserve"> Francesco</w:t>
                    </w:r>
                    <w:r w:rsidRPr="00191498">
                      <w:rPr>
                        <w:rFonts w:ascii="Arial" w:hAnsi="Arial" w:cs="Arial"/>
                        <w:color w:val="000000" w:themeColor="text1"/>
                        <w:sz w:val="16"/>
                        <w:szCs w:val="16"/>
                        <w:lang w:val="it-IT"/>
                      </w:rPr>
                      <w:t xml:space="preserve"> Restelli</w:t>
                    </w:r>
                    <w:r>
                      <w:rPr>
                        <w:rFonts w:ascii="Arial" w:hAnsi="Arial" w:cs="Arial"/>
                        <w:color w:val="000000" w:themeColor="text1"/>
                        <w:sz w:val="16"/>
                        <w:szCs w:val="16"/>
                        <w:lang w:val="it-IT"/>
                      </w:rPr>
                      <w:t>, 3/7 -</w:t>
                    </w:r>
                    <w:r w:rsidRPr="00191498">
                      <w:rPr>
                        <w:rFonts w:ascii="Arial" w:hAnsi="Arial" w:cs="Arial"/>
                        <w:color w:val="000000" w:themeColor="text1"/>
                        <w:sz w:val="16"/>
                        <w:szCs w:val="16"/>
                        <w:lang w:val="it-IT"/>
                      </w:rPr>
                      <w:t xml:space="preserve"> 20124 Milan</w:t>
                    </w:r>
                    <w:r>
                      <w:rPr>
                        <w:rFonts w:ascii="Arial" w:hAnsi="Arial" w:cs="Arial"/>
                        <w:color w:val="000000" w:themeColor="text1"/>
                        <w:sz w:val="16"/>
                        <w:szCs w:val="16"/>
                        <w:lang w:val="it-IT"/>
                      </w:rPr>
                      <w:t>o (MI)</w:t>
                    </w:r>
                  </w:p>
                  <w:p w14:paraId="4EDB9EFD" w14:textId="77777777" w:rsidR="004A0B43" w:rsidRPr="00A93D15" w:rsidRDefault="004A0B43" w:rsidP="00325FFE">
                    <w:pPr>
                      <w:pStyle w:val="BasicParagraph"/>
                      <w:spacing w:line="240" w:lineRule="auto"/>
                      <w:rPr>
                        <w:rFonts w:ascii="Arial" w:hAnsi="Arial" w:cs="Arial"/>
                        <w:color w:val="000000" w:themeColor="text1"/>
                        <w:sz w:val="16"/>
                        <w:szCs w:val="16"/>
                        <w:lang w:val="it-IT"/>
                      </w:rPr>
                    </w:pPr>
                    <w:r w:rsidRPr="00A93D15">
                      <w:rPr>
                        <w:rFonts w:ascii="Arial" w:hAnsi="Arial" w:cs="Arial"/>
                        <w:color w:val="000000" w:themeColor="text1"/>
                        <w:sz w:val="16"/>
                        <w:szCs w:val="16"/>
                        <w:lang w:val="it-IT"/>
                      </w:rPr>
                      <w:t>C.F. e P.IVA  09985750968</w:t>
                    </w:r>
                  </w:p>
                  <w:p w14:paraId="5A6F2FAB" w14:textId="77777777" w:rsidR="004A0B43" w:rsidRPr="00F331F2" w:rsidRDefault="004A0B43" w:rsidP="00325FFE">
                    <w:pPr>
                      <w:pStyle w:val="BasicParagraph"/>
                      <w:spacing w:line="240" w:lineRule="auto"/>
                      <w:rPr>
                        <w:rFonts w:ascii="Arial" w:hAnsi="Arial" w:cs="Arial"/>
                        <w:color w:val="000000" w:themeColor="text1"/>
                        <w:sz w:val="16"/>
                        <w:szCs w:val="16"/>
                        <w:lang w:val="it-IT"/>
                      </w:rPr>
                    </w:pPr>
                    <w:r w:rsidRPr="00F331F2">
                      <w:rPr>
                        <w:rFonts w:ascii="Arial" w:hAnsi="Arial" w:cs="Arial"/>
                        <w:color w:val="000000" w:themeColor="text1"/>
                        <w:sz w:val="16"/>
                        <w:szCs w:val="16"/>
                        <w:lang w:val="it-IT"/>
                      </w:rPr>
                      <w:t>Societ</w:t>
                    </w:r>
                    <w:r>
                      <w:rPr>
                        <w:rFonts w:ascii="Arial" w:hAnsi="Arial" w:cs="Arial"/>
                        <w:color w:val="000000" w:themeColor="text1"/>
                        <w:sz w:val="16"/>
                        <w:szCs w:val="16"/>
                        <w:lang w:val="it-IT"/>
                      </w:rPr>
                      <w:t>à</w:t>
                    </w:r>
                    <w:r w:rsidRPr="00F331F2">
                      <w:rPr>
                        <w:rFonts w:ascii="Arial" w:hAnsi="Arial" w:cs="Arial"/>
                        <w:color w:val="000000" w:themeColor="text1"/>
                        <w:sz w:val="16"/>
                        <w:szCs w:val="16"/>
                        <w:lang w:val="it-IT"/>
                      </w:rPr>
                      <w:t xml:space="preserve"> per azioni a Socio Unico</w:t>
                    </w:r>
                  </w:p>
                  <w:p w14:paraId="7684A097" w14:textId="77777777" w:rsidR="004A0B43" w:rsidRPr="00F331F2" w:rsidRDefault="004A0B43" w:rsidP="00325FFE">
                    <w:pPr>
                      <w:pStyle w:val="BasicParagraph"/>
                      <w:spacing w:line="240" w:lineRule="auto"/>
                      <w:rPr>
                        <w:rFonts w:ascii="Arial" w:hAnsi="Arial" w:cs="Arial"/>
                        <w:b/>
                        <w:bCs/>
                        <w:color w:val="005A70" w:themeColor="text2"/>
                        <w:sz w:val="16"/>
                        <w:szCs w:val="16"/>
                        <w:lang w:val="it-IT"/>
                      </w:rPr>
                    </w:pPr>
                    <w:bookmarkStart w:id="1" w:name="_Hlk510545557"/>
                    <w:r w:rsidRPr="00F331F2">
                      <w:rPr>
                        <w:rFonts w:ascii="Arial" w:hAnsi="Arial" w:cs="Arial"/>
                        <w:b/>
                        <w:bCs/>
                        <w:color w:val="005A70" w:themeColor="text2"/>
                        <w:sz w:val="16"/>
                        <w:szCs w:val="16"/>
                        <w:lang w:val="it-IT"/>
                      </w:rPr>
                      <w:t>www.MET.com</w:t>
                    </w:r>
                  </w:p>
                  <w:bookmarkEnd w:id="1"/>
                  <w:p w14:paraId="5911A928" w14:textId="77777777" w:rsidR="004A0B43" w:rsidRPr="004E7592" w:rsidRDefault="004A0B43" w:rsidP="004E7592">
                    <w:pPr>
                      <w:pStyle w:val="BasicParagraph"/>
                      <w:spacing w:line="240" w:lineRule="auto"/>
                      <w:rPr>
                        <w:rFonts w:ascii="Gotham Book" w:hAnsi="Gotham Book"/>
                        <w:sz w:val="16"/>
                        <w:szCs w:val="16"/>
                        <w:lang w:val="hu-HU"/>
                      </w:rPr>
                    </w:pPr>
                  </w:p>
                </w:txbxContent>
              </v:textbox>
              <w10:wrap type="square"/>
            </v:shape>
          </w:pict>
        </mc:Fallback>
      </mc:AlternateContent>
    </w:r>
    <w:r>
      <w:rPr>
        <w:noProof/>
        <w:lang w:val="it-IT" w:eastAsia="it-IT"/>
      </w:rPr>
      <mc:AlternateContent>
        <mc:Choice Requires="wps">
          <w:drawing>
            <wp:anchor distT="0" distB="0" distL="114300" distR="114300" simplePos="0" relativeHeight="251661312" behindDoc="0" locked="0" layoutInCell="1" allowOverlap="1" wp14:anchorId="5084AA20" wp14:editId="0C7F7CEF">
              <wp:simplePos x="0" y="0"/>
              <wp:positionH relativeFrom="column">
                <wp:posOffset>827405</wp:posOffset>
              </wp:positionH>
              <wp:positionV relativeFrom="paragraph">
                <wp:posOffset>-1093470</wp:posOffset>
              </wp:positionV>
              <wp:extent cx="0" cy="660400"/>
              <wp:effectExtent l="0" t="0" r="38100" b="25400"/>
              <wp:wrapNone/>
              <wp:docPr id="3" name="Egyenes összekötő 3"/>
              <wp:cNvGraphicFramePr/>
              <a:graphic xmlns:a="http://schemas.openxmlformats.org/drawingml/2006/main">
                <a:graphicData uri="http://schemas.microsoft.com/office/word/2010/wordprocessingShape">
                  <wps:wsp>
                    <wps:cNvCnPr/>
                    <wps:spPr>
                      <a:xfrm>
                        <a:off x="0" y="0"/>
                        <a:ext cx="0" cy="660400"/>
                      </a:xfrm>
                      <a:prstGeom prst="line">
                        <a:avLst/>
                      </a:prstGeom>
                      <a:ln w="635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A81C94" id="Egyenes összekötő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5.15pt,-86.1pt" to="65.1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" strokecolor="#005a70 [3215]" strokeweight=".5pt">
              <v:stroke joinstyle="miter"/>
            </v:lin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D68"/>
    <w:multiLevelType w:val="hybridMultilevel"/>
    <w:tmpl w:val="E4CC15E2"/>
    <w:lvl w:ilvl="0" w:tplc="0CBCF3F0">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5984731"/>
    <w:multiLevelType w:val="hybridMultilevel"/>
    <w:tmpl w:val="E4CC15E2"/>
    <w:lvl w:ilvl="0" w:tplc="0CBCF3F0">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68B2B1E"/>
    <w:multiLevelType w:val="hybridMultilevel"/>
    <w:tmpl w:val="C7F8FD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1">
    <w:nsid w:val="06B90BE4"/>
    <w:multiLevelType w:val="multilevel"/>
    <w:tmpl w:val="BE86CD28"/>
    <w:lvl w:ilvl="0">
      <w:start w:val="2"/>
      <w:numFmt w:val="decimal"/>
      <w:lvlText w:val="%1"/>
      <w:lvlJc w:val="left"/>
      <w:pPr>
        <w:ind w:left="360" w:hanging="360"/>
      </w:pPr>
    </w:lvl>
    <w:lvl w:ilvl="1">
      <w:start w:val="6"/>
      <w:numFmt w:val="decimal"/>
      <w:lvlText w:val="%1.%2"/>
      <w:lvlJc w:val="left"/>
      <w:pPr>
        <w:ind w:left="786"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4" w15:restartNumberingAfterBreak="1">
    <w:nsid w:val="06E656C0"/>
    <w:multiLevelType w:val="multilevel"/>
    <w:tmpl w:val="B016BE6C"/>
    <w:lvl w:ilvl="0">
      <w:start w:val="9"/>
      <w:numFmt w:val="decimal"/>
      <w:lvlText w:val="%1."/>
      <w:lvlJc w:val="left"/>
      <w:pPr>
        <w:ind w:left="720" w:hanging="360"/>
      </w:pPr>
    </w:lvl>
    <w:lvl w:ilvl="1">
      <w:start w:val="1"/>
      <w:numFmt w:val="bullet"/>
      <w:lvlText w:val=""/>
      <w:lvlJc w:val="left"/>
      <w:pPr>
        <w:ind w:left="720" w:hanging="360"/>
      </w:pPr>
      <w:rPr>
        <w:rFonts w:ascii="Symbol" w:hAnsi="Symbol" w:hint="default"/>
        <w:b w:val="0"/>
        <w:sz w:val="20"/>
        <w:szCs w:val="2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440" w:hanging="1080"/>
      </w:pPr>
    </w:lvl>
    <w:lvl w:ilvl="8">
      <w:start w:val="1"/>
      <w:numFmt w:val="decimal"/>
      <w:isLgl/>
      <w:lvlText w:val="%1.%2.%3.%4.%5.%6.%7.%8.%9"/>
      <w:lvlJc w:val="left"/>
      <w:pPr>
        <w:ind w:left="1800" w:hanging="1440"/>
      </w:pPr>
    </w:lvl>
  </w:abstractNum>
  <w:abstractNum w:abstractNumId="5" w15:restartNumberingAfterBreak="1">
    <w:nsid w:val="076147F5"/>
    <w:multiLevelType w:val="hybridMultilevel"/>
    <w:tmpl w:val="B01475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9842B6C"/>
    <w:multiLevelType w:val="hybridMultilevel"/>
    <w:tmpl w:val="F1107568"/>
    <w:lvl w:ilvl="0" w:tplc="7AA6A210">
      <w:start w:val="7"/>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1">
    <w:nsid w:val="0A156C8C"/>
    <w:multiLevelType w:val="hybridMultilevel"/>
    <w:tmpl w:val="C2388B9A"/>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8" w15:restartNumberingAfterBreak="0">
    <w:nsid w:val="1095648C"/>
    <w:multiLevelType w:val="hybridMultilevel"/>
    <w:tmpl w:val="C96E315A"/>
    <w:lvl w:ilvl="0" w:tplc="6BECC876">
      <w:start w:val="1"/>
      <w:numFmt w:val="decimal"/>
      <w:lvlText w:val="%1."/>
      <w:lvlJc w:val="left"/>
      <w:pPr>
        <w:ind w:left="383" w:hanging="360"/>
      </w:pPr>
      <w:rPr>
        <w:rFonts w:hint="default"/>
      </w:rPr>
    </w:lvl>
    <w:lvl w:ilvl="1" w:tplc="04100019" w:tentative="1">
      <w:start w:val="1"/>
      <w:numFmt w:val="lowerLetter"/>
      <w:lvlText w:val="%2."/>
      <w:lvlJc w:val="left"/>
      <w:pPr>
        <w:ind w:left="1103" w:hanging="360"/>
      </w:pPr>
    </w:lvl>
    <w:lvl w:ilvl="2" w:tplc="0410001B" w:tentative="1">
      <w:start w:val="1"/>
      <w:numFmt w:val="lowerRoman"/>
      <w:lvlText w:val="%3."/>
      <w:lvlJc w:val="right"/>
      <w:pPr>
        <w:ind w:left="1823" w:hanging="180"/>
      </w:pPr>
    </w:lvl>
    <w:lvl w:ilvl="3" w:tplc="0410000F" w:tentative="1">
      <w:start w:val="1"/>
      <w:numFmt w:val="decimal"/>
      <w:lvlText w:val="%4."/>
      <w:lvlJc w:val="left"/>
      <w:pPr>
        <w:ind w:left="2543" w:hanging="360"/>
      </w:pPr>
    </w:lvl>
    <w:lvl w:ilvl="4" w:tplc="04100019" w:tentative="1">
      <w:start w:val="1"/>
      <w:numFmt w:val="lowerLetter"/>
      <w:lvlText w:val="%5."/>
      <w:lvlJc w:val="left"/>
      <w:pPr>
        <w:ind w:left="3263" w:hanging="360"/>
      </w:pPr>
    </w:lvl>
    <w:lvl w:ilvl="5" w:tplc="0410001B" w:tentative="1">
      <w:start w:val="1"/>
      <w:numFmt w:val="lowerRoman"/>
      <w:lvlText w:val="%6."/>
      <w:lvlJc w:val="right"/>
      <w:pPr>
        <w:ind w:left="3983" w:hanging="180"/>
      </w:pPr>
    </w:lvl>
    <w:lvl w:ilvl="6" w:tplc="0410000F" w:tentative="1">
      <w:start w:val="1"/>
      <w:numFmt w:val="decimal"/>
      <w:lvlText w:val="%7."/>
      <w:lvlJc w:val="left"/>
      <w:pPr>
        <w:ind w:left="4703" w:hanging="360"/>
      </w:pPr>
    </w:lvl>
    <w:lvl w:ilvl="7" w:tplc="04100019" w:tentative="1">
      <w:start w:val="1"/>
      <w:numFmt w:val="lowerLetter"/>
      <w:lvlText w:val="%8."/>
      <w:lvlJc w:val="left"/>
      <w:pPr>
        <w:ind w:left="5423" w:hanging="360"/>
      </w:pPr>
    </w:lvl>
    <w:lvl w:ilvl="8" w:tplc="0410001B" w:tentative="1">
      <w:start w:val="1"/>
      <w:numFmt w:val="lowerRoman"/>
      <w:lvlText w:val="%9."/>
      <w:lvlJc w:val="right"/>
      <w:pPr>
        <w:ind w:left="6143" w:hanging="180"/>
      </w:pPr>
    </w:lvl>
  </w:abstractNum>
  <w:abstractNum w:abstractNumId="9" w15:restartNumberingAfterBreak="0">
    <w:nsid w:val="16987A05"/>
    <w:multiLevelType w:val="hybridMultilevel"/>
    <w:tmpl w:val="E7AE8D30"/>
    <w:lvl w:ilvl="0" w:tplc="04100001">
      <w:start w:val="1"/>
      <w:numFmt w:val="bullet"/>
      <w:lvlText w:val=""/>
      <w:lvlJc w:val="left"/>
      <w:pPr>
        <w:ind w:left="743" w:hanging="360"/>
      </w:pPr>
      <w:rPr>
        <w:rFonts w:ascii="Symbol" w:hAnsi="Symbol" w:hint="default"/>
      </w:rPr>
    </w:lvl>
    <w:lvl w:ilvl="1" w:tplc="04100003" w:tentative="1">
      <w:start w:val="1"/>
      <w:numFmt w:val="bullet"/>
      <w:lvlText w:val="o"/>
      <w:lvlJc w:val="left"/>
      <w:pPr>
        <w:ind w:left="1463" w:hanging="360"/>
      </w:pPr>
      <w:rPr>
        <w:rFonts w:ascii="Courier New" w:hAnsi="Courier New" w:cs="Courier New" w:hint="default"/>
      </w:rPr>
    </w:lvl>
    <w:lvl w:ilvl="2" w:tplc="04100005" w:tentative="1">
      <w:start w:val="1"/>
      <w:numFmt w:val="bullet"/>
      <w:lvlText w:val=""/>
      <w:lvlJc w:val="left"/>
      <w:pPr>
        <w:ind w:left="2183" w:hanging="360"/>
      </w:pPr>
      <w:rPr>
        <w:rFonts w:ascii="Wingdings" w:hAnsi="Wingdings" w:hint="default"/>
      </w:rPr>
    </w:lvl>
    <w:lvl w:ilvl="3" w:tplc="04100001" w:tentative="1">
      <w:start w:val="1"/>
      <w:numFmt w:val="bullet"/>
      <w:lvlText w:val=""/>
      <w:lvlJc w:val="left"/>
      <w:pPr>
        <w:ind w:left="2903" w:hanging="360"/>
      </w:pPr>
      <w:rPr>
        <w:rFonts w:ascii="Symbol" w:hAnsi="Symbol" w:hint="default"/>
      </w:rPr>
    </w:lvl>
    <w:lvl w:ilvl="4" w:tplc="04100003" w:tentative="1">
      <w:start w:val="1"/>
      <w:numFmt w:val="bullet"/>
      <w:lvlText w:val="o"/>
      <w:lvlJc w:val="left"/>
      <w:pPr>
        <w:ind w:left="3623" w:hanging="360"/>
      </w:pPr>
      <w:rPr>
        <w:rFonts w:ascii="Courier New" w:hAnsi="Courier New" w:cs="Courier New" w:hint="default"/>
      </w:rPr>
    </w:lvl>
    <w:lvl w:ilvl="5" w:tplc="04100005" w:tentative="1">
      <w:start w:val="1"/>
      <w:numFmt w:val="bullet"/>
      <w:lvlText w:val=""/>
      <w:lvlJc w:val="left"/>
      <w:pPr>
        <w:ind w:left="4343" w:hanging="360"/>
      </w:pPr>
      <w:rPr>
        <w:rFonts w:ascii="Wingdings" w:hAnsi="Wingdings" w:hint="default"/>
      </w:rPr>
    </w:lvl>
    <w:lvl w:ilvl="6" w:tplc="04100001" w:tentative="1">
      <w:start w:val="1"/>
      <w:numFmt w:val="bullet"/>
      <w:lvlText w:val=""/>
      <w:lvlJc w:val="left"/>
      <w:pPr>
        <w:ind w:left="5063" w:hanging="360"/>
      </w:pPr>
      <w:rPr>
        <w:rFonts w:ascii="Symbol" w:hAnsi="Symbol" w:hint="default"/>
      </w:rPr>
    </w:lvl>
    <w:lvl w:ilvl="7" w:tplc="04100003" w:tentative="1">
      <w:start w:val="1"/>
      <w:numFmt w:val="bullet"/>
      <w:lvlText w:val="o"/>
      <w:lvlJc w:val="left"/>
      <w:pPr>
        <w:ind w:left="5783" w:hanging="360"/>
      </w:pPr>
      <w:rPr>
        <w:rFonts w:ascii="Courier New" w:hAnsi="Courier New" w:cs="Courier New" w:hint="default"/>
      </w:rPr>
    </w:lvl>
    <w:lvl w:ilvl="8" w:tplc="04100005" w:tentative="1">
      <w:start w:val="1"/>
      <w:numFmt w:val="bullet"/>
      <w:lvlText w:val=""/>
      <w:lvlJc w:val="left"/>
      <w:pPr>
        <w:ind w:left="6503" w:hanging="360"/>
      </w:pPr>
      <w:rPr>
        <w:rFonts w:ascii="Wingdings" w:hAnsi="Wingdings" w:hint="default"/>
      </w:rPr>
    </w:lvl>
  </w:abstractNum>
  <w:abstractNum w:abstractNumId="10" w15:restartNumberingAfterBreak="1">
    <w:nsid w:val="183B50B5"/>
    <w:multiLevelType w:val="multilevel"/>
    <w:tmpl w:val="59602662"/>
    <w:lvl w:ilvl="0">
      <w:start w:val="3"/>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1" w15:restartNumberingAfterBreak="1">
    <w:nsid w:val="18D97B45"/>
    <w:multiLevelType w:val="multilevel"/>
    <w:tmpl w:val="E8882B94"/>
    <w:lvl w:ilvl="0">
      <w:start w:val="9"/>
      <w:numFmt w:val="decimal"/>
      <w:lvlText w:val="%1."/>
      <w:lvlJc w:val="left"/>
      <w:pPr>
        <w:ind w:left="720" w:hanging="360"/>
      </w:pPr>
    </w:lvl>
    <w:lvl w:ilvl="1">
      <w:start w:val="1"/>
      <w:numFmt w:val="decimal"/>
      <w:isLgl/>
      <w:lvlText w:val="%1.%2"/>
      <w:lvlJc w:val="left"/>
      <w:pPr>
        <w:ind w:left="720" w:hanging="360"/>
      </w:pPr>
      <w:rPr>
        <w:b w:val="0"/>
        <w:sz w:val="20"/>
        <w:szCs w:val="20"/>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440" w:hanging="1080"/>
      </w:pPr>
    </w:lvl>
    <w:lvl w:ilvl="8">
      <w:start w:val="1"/>
      <w:numFmt w:val="decimal"/>
      <w:isLgl/>
      <w:lvlText w:val="%1.%2.%3.%4.%5.%6.%7.%8.%9"/>
      <w:lvlJc w:val="left"/>
      <w:pPr>
        <w:ind w:left="1800" w:hanging="1440"/>
      </w:pPr>
    </w:lvl>
  </w:abstractNum>
  <w:abstractNum w:abstractNumId="12" w15:restartNumberingAfterBreak="0">
    <w:nsid w:val="1DE03E6D"/>
    <w:multiLevelType w:val="hybridMultilevel"/>
    <w:tmpl w:val="D0F2608A"/>
    <w:lvl w:ilvl="0" w:tplc="041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E001A05"/>
    <w:multiLevelType w:val="hybridMultilevel"/>
    <w:tmpl w:val="D40C8BDC"/>
    <w:lvl w:ilvl="0" w:tplc="1908A934">
      <w:start w:val="1"/>
      <w:numFmt w:val="bullet"/>
      <w:lvlText w:val="-"/>
      <w:lvlJc w:val="left"/>
      <w:pPr>
        <w:tabs>
          <w:tab w:val="num" w:pos="720"/>
        </w:tabs>
        <w:ind w:left="720" w:hanging="360"/>
      </w:pPr>
      <w:rPr>
        <w:rFonts w:ascii="Times New Roman" w:hAnsi="Times New Roman" w:hint="default"/>
      </w:rPr>
    </w:lvl>
    <w:lvl w:ilvl="1" w:tplc="BCBE5210" w:tentative="1">
      <w:start w:val="1"/>
      <w:numFmt w:val="bullet"/>
      <w:lvlText w:val="-"/>
      <w:lvlJc w:val="left"/>
      <w:pPr>
        <w:tabs>
          <w:tab w:val="num" w:pos="1440"/>
        </w:tabs>
        <w:ind w:left="1440" w:hanging="360"/>
      </w:pPr>
      <w:rPr>
        <w:rFonts w:ascii="Times New Roman" w:hAnsi="Times New Roman" w:hint="default"/>
      </w:rPr>
    </w:lvl>
    <w:lvl w:ilvl="2" w:tplc="7F3CC3A0" w:tentative="1">
      <w:start w:val="1"/>
      <w:numFmt w:val="bullet"/>
      <w:lvlText w:val="-"/>
      <w:lvlJc w:val="left"/>
      <w:pPr>
        <w:tabs>
          <w:tab w:val="num" w:pos="2160"/>
        </w:tabs>
        <w:ind w:left="2160" w:hanging="360"/>
      </w:pPr>
      <w:rPr>
        <w:rFonts w:ascii="Times New Roman" w:hAnsi="Times New Roman" w:hint="default"/>
      </w:rPr>
    </w:lvl>
    <w:lvl w:ilvl="3" w:tplc="5AEEE358" w:tentative="1">
      <w:start w:val="1"/>
      <w:numFmt w:val="bullet"/>
      <w:lvlText w:val="-"/>
      <w:lvlJc w:val="left"/>
      <w:pPr>
        <w:tabs>
          <w:tab w:val="num" w:pos="2880"/>
        </w:tabs>
        <w:ind w:left="2880" w:hanging="360"/>
      </w:pPr>
      <w:rPr>
        <w:rFonts w:ascii="Times New Roman" w:hAnsi="Times New Roman" w:hint="default"/>
      </w:rPr>
    </w:lvl>
    <w:lvl w:ilvl="4" w:tplc="31FAACA6" w:tentative="1">
      <w:start w:val="1"/>
      <w:numFmt w:val="bullet"/>
      <w:lvlText w:val="-"/>
      <w:lvlJc w:val="left"/>
      <w:pPr>
        <w:tabs>
          <w:tab w:val="num" w:pos="3600"/>
        </w:tabs>
        <w:ind w:left="3600" w:hanging="360"/>
      </w:pPr>
      <w:rPr>
        <w:rFonts w:ascii="Times New Roman" w:hAnsi="Times New Roman" w:hint="default"/>
      </w:rPr>
    </w:lvl>
    <w:lvl w:ilvl="5" w:tplc="CA604518" w:tentative="1">
      <w:start w:val="1"/>
      <w:numFmt w:val="bullet"/>
      <w:lvlText w:val="-"/>
      <w:lvlJc w:val="left"/>
      <w:pPr>
        <w:tabs>
          <w:tab w:val="num" w:pos="4320"/>
        </w:tabs>
        <w:ind w:left="4320" w:hanging="360"/>
      </w:pPr>
      <w:rPr>
        <w:rFonts w:ascii="Times New Roman" w:hAnsi="Times New Roman" w:hint="default"/>
      </w:rPr>
    </w:lvl>
    <w:lvl w:ilvl="6" w:tplc="2F9CD3FE" w:tentative="1">
      <w:start w:val="1"/>
      <w:numFmt w:val="bullet"/>
      <w:lvlText w:val="-"/>
      <w:lvlJc w:val="left"/>
      <w:pPr>
        <w:tabs>
          <w:tab w:val="num" w:pos="5040"/>
        </w:tabs>
        <w:ind w:left="5040" w:hanging="360"/>
      </w:pPr>
      <w:rPr>
        <w:rFonts w:ascii="Times New Roman" w:hAnsi="Times New Roman" w:hint="default"/>
      </w:rPr>
    </w:lvl>
    <w:lvl w:ilvl="7" w:tplc="3618A262" w:tentative="1">
      <w:start w:val="1"/>
      <w:numFmt w:val="bullet"/>
      <w:lvlText w:val="-"/>
      <w:lvlJc w:val="left"/>
      <w:pPr>
        <w:tabs>
          <w:tab w:val="num" w:pos="5760"/>
        </w:tabs>
        <w:ind w:left="5760" w:hanging="360"/>
      </w:pPr>
      <w:rPr>
        <w:rFonts w:ascii="Times New Roman" w:hAnsi="Times New Roman" w:hint="default"/>
      </w:rPr>
    </w:lvl>
    <w:lvl w:ilvl="8" w:tplc="305C8E90"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1957E5"/>
    <w:multiLevelType w:val="hybridMultilevel"/>
    <w:tmpl w:val="CBB445DA"/>
    <w:lvl w:ilvl="0" w:tplc="5094D08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E605C78"/>
    <w:multiLevelType w:val="hybridMultilevel"/>
    <w:tmpl w:val="611A973A"/>
    <w:lvl w:ilvl="0" w:tplc="FFFC1E0E">
      <w:start w:val="1"/>
      <w:numFmt w:val="bullet"/>
      <w:lvlText w:val="•"/>
      <w:lvlJc w:val="left"/>
      <w:pPr>
        <w:tabs>
          <w:tab w:val="num" w:pos="720"/>
        </w:tabs>
        <w:ind w:left="720" w:hanging="360"/>
      </w:pPr>
      <w:rPr>
        <w:rFonts w:ascii="Arial" w:hAnsi="Arial" w:hint="default"/>
      </w:rPr>
    </w:lvl>
    <w:lvl w:ilvl="1" w:tplc="78745D5E" w:tentative="1">
      <w:start w:val="1"/>
      <w:numFmt w:val="bullet"/>
      <w:lvlText w:val="•"/>
      <w:lvlJc w:val="left"/>
      <w:pPr>
        <w:tabs>
          <w:tab w:val="num" w:pos="1440"/>
        </w:tabs>
        <w:ind w:left="1440" w:hanging="360"/>
      </w:pPr>
      <w:rPr>
        <w:rFonts w:ascii="Arial" w:hAnsi="Arial" w:hint="default"/>
      </w:rPr>
    </w:lvl>
    <w:lvl w:ilvl="2" w:tplc="50F06730" w:tentative="1">
      <w:start w:val="1"/>
      <w:numFmt w:val="bullet"/>
      <w:lvlText w:val="•"/>
      <w:lvlJc w:val="left"/>
      <w:pPr>
        <w:tabs>
          <w:tab w:val="num" w:pos="2160"/>
        </w:tabs>
        <w:ind w:left="2160" w:hanging="360"/>
      </w:pPr>
      <w:rPr>
        <w:rFonts w:ascii="Arial" w:hAnsi="Arial" w:hint="default"/>
      </w:rPr>
    </w:lvl>
    <w:lvl w:ilvl="3" w:tplc="11241A02" w:tentative="1">
      <w:start w:val="1"/>
      <w:numFmt w:val="bullet"/>
      <w:lvlText w:val="•"/>
      <w:lvlJc w:val="left"/>
      <w:pPr>
        <w:tabs>
          <w:tab w:val="num" w:pos="2880"/>
        </w:tabs>
        <w:ind w:left="2880" w:hanging="360"/>
      </w:pPr>
      <w:rPr>
        <w:rFonts w:ascii="Arial" w:hAnsi="Arial" w:hint="default"/>
      </w:rPr>
    </w:lvl>
    <w:lvl w:ilvl="4" w:tplc="37B0E9EE" w:tentative="1">
      <w:start w:val="1"/>
      <w:numFmt w:val="bullet"/>
      <w:lvlText w:val="•"/>
      <w:lvlJc w:val="left"/>
      <w:pPr>
        <w:tabs>
          <w:tab w:val="num" w:pos="3600"/>
        </w:tabs>
        <w:ind w:left="3600" w:hanging="360"/>
      </w:pPr>
      <w:rPr>
        <w:rFonts w:ascii="Arial" w:hAnsi="Arial" w:hint="default"/>
      </w:rPr>
    </w:lvl>
    <w:lvl w:ilvl="5" w:tplc="0F48C120" w:tentative="1">
      <w:start w:val="1"/>
      <w:numFmt w:val="bullet"/>
      <w:lvlText w:val="•"/>
      <w:lvlJc w:val="left"/>
      <w:pPr>
        <w:tabs>
          <w:tab w:val="num" w:pos="4320"/>
        </w:tabs>
        <w:ind w:left="4320" w:hanging="360"/>
      </w:pPr>
      <w:rPr>
        <w:rFonts w:ascii="Arial" w:hAnsi="Arial" w:hint="default"/>
      </w:rPr>
    </w:lvl>
    <w:lvl w:ilvl="6" w:tplc="6CAA5484" w:tentative="1">
      <w:start w:val="1"/>
      <w:numFmt w:val="bullet"/>
      <w:lvlText w:val="•"/>
      <w:lvlJc w:val="left"/>
      <w:pPr>
        <w:tabs>
          <w:tab w:val="num" w:pos="5040"/>
        </w:tabs>
        <w:ind w:left="5040" w:hanging="360"/>
      </w:pPr>
      <w:rPr>
        <w:rFonts w:ascii="Arial" w:hAnsi="Arial" w:hint="default"/>
      </w:rPr>
    </w:lvl>
    <w:lvl w:ilvl="7" w:tplc="C396D0E2" w:tentative="1">
      <w:start w:val="1"/>
      <w:numFmt w:val="bullet"/>
      <w:lvlText w:val="•"/>
      <w:lvlJc w:val="left"/>
      <w:pPr>
        <w:tabs>
          <w:tab w:val="num" w:pos="5760"/>
        </w:tabs>
        <w:ind w:left="5760" w:hanging="360"/>
      </w:pPr>
      <w:rPr>
        <w:rFonts w:ascii="Arial" w:hAnsi="Arial" w:hint="default"/>
      </w:rPr>
    </w:lvl>
    <w:lvl w:ilvl="8" w:tplc="FF843A3A" w:tentative="1">
      <w:start w:val="1"/>
      <w:numFmt w:val="bullet"/>
      <w:lvlText w:val="•"/>
      <w:lvlJc w:val="left"/>
      <w:pPr>
        <w:tabs>
          <w:tab w:val="num" w:pos="6480"/>
        </w:tabs>
        <w:ind w:left="6480" w:hanging="360"/>
      </w:pPr>
      <w:rPr>
        <w:rFonts w:ascii="Arial" w:hAnsi="Arial" w:hint="default"/>
      </w:rPr>
    </w:lvl>
  </w:abstractNum>
  <w:abstractNum w:abstractNumId="16" w15:restartNumberingAfterBreak="1">
    <w:nsid w:val="30130D21"/>
    <w:multiLevelType w:val="hybridMultilevel"/>
    <w:tmpl w:val="C2388B9A"/>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start w:val="1"/>
      <w:numFmt w:val="bullet"/>
      <w:lvlText w:val="o"/>
      <w:lvlJc w:val="left"/>
      <w:pPr>
        <w:ind w:left="4050" w:hanging="360"/>
      </w:pPr>
      <w:rPr>
        <w:rFonts w:ascii="Courier New" w:hAnsi="Courier New" w:cs="Courier New" w:hint="default"/>
      </w:rPr>
    </w:lvl>
    <w:lvl w:ilvl="5" w:tplc="04090005">
      <w:start w:val="1"/>
      <w:numFmt w:val="bullet"/>
      <w:lvlText w:val=""/>
      <w:lvlJc w:val="left"/>
      <w:pPr>
        <w:ind w:left="4770" w:hanging="360"/>
      </w:pPr>
      <w:rPr>
        <w:rFonts w:ascii="Wingdings" w:hAnsi="Wingdings" w:hint="default"/>
      </w:rPr>
    </w:lvl>
    <w:lvl w:ilvl="6" w:tplc="04090001">
      <w:start w:val="1"/>
      <w:numFmt w:val="bullet"/>
      <w:lvlText w:val=""/>
      <w:lvlJc w:val="left"/>
      <w:pPr>
        <w:ind w:left="5490" w:hanging="360"/>
      </w:pPr>
      <w:rPr>
        <w:rFonts w:ascii="Symbol" w:hAnsi="Symbol" w:hint="default"/>
      </w:rPr>
    </w:lvl>
    <w:lvl w:ilvl="7" w:tplc="04090003">
      <w:start w:val="1"/>
      <w:numFmt w:val="bullet"/>
      <w:lvlText w:val="o"/>
      <w:lvlJc w:val="left"/>
      <w:pPr>
        <w:ind w:left="6210" w:hanging="360"/>
      </w:pPr>
      <w:rPr>
        <w:rFonts w:ascii="Courier New" w:hAnsi="Courier New" w:cs="Courier New" w:hint="default"/>
      </w:rPr>
    </w:lvl>
    <w:lvl w:ilvl="8" w:tplc="04090005">
      <w:start w:val="1"/>
      <w:numFmt w:val="bullet"/>
      <w:lvlText w:val=""/>
      <w:lvlJc w:val="left"/>
      <w:pPr>
        <w:ind w:left="6930" w:hanging="360"/>
      </w:pPr>
      <w:rPr>
        <w:rFonts w:ascii="Wingdings" w:hAnsi="Wingdings" w:hint="default"/>
      </w:rPr>
    </w:lvl>
  </w:abstractNum>
  <w:abstractNum w:abstractNumId="17" w15:restartNumberingAfterBreak="0">
    <w:nsid w:val="34795486"/>
    <w:multiLevelType w:val="hybridMultilevel"/>
    <w:tmpl w:val="5B56794E"/>
    <w:lvl w:ilvl="0" w:tplc="C2AE2A4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291DFE"/>
    <w:multiLevelType w:val="hybridMultilevel"/>
    <w:tmpl w:val="832CBC8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9" w15:restartNumberingAfterBreak="1">
    <w:nsid w:val="38FA1CA4"/>
    <w:multiLevelType w:val="multilevel"/>
    <w:tmpl w:val="D602C64E"/>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0" w15:restartNumberingAfterBreak="0">
    <w:nsid w:val="39605B46"/>
    <w:multiLevelType w:val="hybridMultilevel"/>
    <w:tmpl w:val="BFD025FA"/>
    <w:lvl w:ilvl="0" w:tplc="04100001">
      <w:start w:val="1"/>
      <w:numFmt w:val="bullet"/>
      <w:lvlText w:val=""/>
      <w:lvlJc w:val="left"/>
      <w:pPr>
        <w:ind w:left="743" w:hanging="360"/>
      </w:pPr>
      <w:rPr>
        <w:rFonts w:ascii="Symbol" w:hAnsi="Symbol" w:hint="default"/>
      </w:rPr>
    </w:lvl>
    <w:lvl w:ilvl="1" w:tplc="04100003" w:tentative="1">
      <w:start w:val="1"/>
      <w:numFmt w:val="bullet"/>
      <w:lvlText w:val="o"/>
      <w:lvlJc w:val="left"/>
      <w:pPr>
        <w:ind w:left="1463" w:hanging="360"/>
      </w:pPr>
      <w:rPr>
        <w:rFonts w:ascii="Courier New" w:hAnsi="Courier New" w:cs="Courier New" w:hint="default"/>
      </w:rPr>
    </w:lvl>
    <w:lvl w:ilvl="2" w:tplc="04100005" w:tentative="1">
      <w:start w:val="1"/>
      <w:numFmt w:val="bullet"/>
      <w:lvlText w:val=""/>
      <w:lvlJc w:val="left"/>
      <w:pPr>
        <w:ind w:left="2183" w:hanging="360"/>
      </w:pPr>
      <w:rPr>
        <w:rFonts w:ascii="Wingdings" w:hAnsi="Wingdings" w:hint="default"/>
      </w:rPr>
    </w:lvl>
    <w:lvl w:ilvl="3" w:tplc="04100001" w:tentative="1">
      <w:start w:val="1"/>
      <w:numFmt w:val="bullet"/>
      <w:lvlText w:val=""/>
      <w:lvlJc w:val="left"/>
      <w:pPr>
        <w:ind w:left="2903" w:hanging="360"/>
      </w:pPr>
      <w:rPr>
        <w:rFonts w:ascii="Symbol" w:hAnsi="Symbol" w:hint="default"/>
      </w:rPr>
    </w:lvl>
    <w:lvl w:ilvl="4" w:tplc="04100003" w:tentative="1">
      <w:start w:val="1"/>
      <w:numFmt w:val="bullet"/>
      <w:lvlText w:val="o"/>
      <w:lvlJc w:val="left"/>
      <w:pPr>
        <w:ind w:left="3623" w:hanging="360"/>
      </w:pPr>
      <w:rPr>
        <w:rFonts w:ascii="Courier New" w:hAnsi="Courier New" w:cs="Courier New" w:hint="default"/>
      </w:rPr>
    </w:lvl>
    <w:lvl w:ilvl="5" w:tplc="04100005" w:tentative="1">
      <w:start w:val="1"/>
      <w:numFmt w:val="bullet"/>
      <w:lvlText w:val=""/>
      <w:lvlJc w:val="left"/>
      <w:pPr>
        <w:ind w:left="4343" w:hanging="360"/>
      </w:pPr>
      <w:rPr>
        <w:rFonts w:ascii="Wingdings" w:hAnsi="Wingdings" w:hint="default"/>
      </w:rPr>
    </w:lvl>
    <w:lvl w:ilvl="6" w:tplc="04100001" w:tentative="1">
      <w:start w:val="1"/>
      <w:numFmt w:val="bullet"/>
      <w:lvlText w:val=""/>
      <w:lvlJc w:val="left"/>
      <w:pPr>
        <w:ind w:left="5063" w:hanging="360"/>
      </w:pPr>
      <w:rPr>
        <w:rFonts w:ascii="Symbol" w:hAnsi="Symbol" w:hint="default"/>
      </w:rPr>
    </w:lvl>
    <w:lvl w:ilvl="7" w:tplc="04100003" w:tentative="1">
      <w:start w:val="1"/>
      <w:numFmt w:val="bullet"/>
      <w:lvlText w:val="o"/>
      <w:lvlJc w:val="left"/>
      <w:pPr>
        <w:ind w:left="5783" w:hanging="360"/>
      </w:pPr>
      <w:rPr>
        <w:rFonts w:ascii="Courier New" w:hAnsi="Courier New" w:cs="Courier New" w:hint="default"/>
      </w:rPr>
    </w:lvl>
    <w:lvl w:ilvl="8" w:tplc="04100005" w:tentative="1">
      <w:start w:val="1"/>
      <w:numFmt w:val="bullet"/>
      <w:lvlText w:val=""/>
      <w:lvlJc w:val="left"/>
      <w:pPr>
        <w:ind w:left="6503" w:hanging="360"/>
      </w:pPr>
      <w:rPr>
        <w:rFonts w:ascii="Wingdings" w:hAnsi="Wingdings" w:hint="default"/>
      </w:rPr>
    </w:lvl>
  </w:abstractNum>
  <w:abstractNum w:abstractNumId="21" w15:restartNumberingAfterBreak="0">
    <w:nsid w:val="3B9325CB"/>
    <w:multiLevelType w:val="hybridMultilevel"/>
    <w:tmpl w:val="F5846A34"/>
    <w:lvl w:ilvl="0" w:tplc="EDC2E594">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1">
    <w:nsid w:val="3F527133"/>
    <w:multiLevelType w:val="hybridMultilevel"/>
    <w:tmpl w:val="070A6188"/>
    <w:lvl w:ilvl="0" w:tplc="0409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0B47E5F"/>
    <w:multiLevelType w:val="hybridMultilevel"/>
    <w:tmpl w:val="9D0A24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1">
    <w:nsid w:val="450F0965"/>
    <w:multiLevelType w:val="multilevel"/>
    <w:tmpl w:val="7E7A893E"/>
    <w:lvl w:ilvl="0">
      <w:start w:val="4"/>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1">
    <w:nsid w:val="51807249"/>
    <w:multiLevelType w:val="multilevel"/>
    <w:tmpl w:val="4E72C4B0"/>
    <w:lvl w:ilvl="0">
      <w:start w:val="8"/>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160" w:hanging="720"/>
      </w:pPr>
    </w:lvl>
    <w:lvl w:ilvl="5">
      <w:start w:val="1"/>
      <w:numFmt w:val="decimal"/>
      <w:lvlText w:val="%1.%2.%3.%4.%5.%6"/>
      <w:lvlJc w:val="left"/>
      <w:pPr>
        <w:ind w:left="2880" w:hanging="1080"/>
      </w:pPr>
    </w:lvl>
    <w:lvl w:ilvl="6">
      <w:start w:val="1"/>
      <w:numFmt w:val="decimal"/>
      <w:lvlText w:val="%1.%2.%3.%4.%5.%6.%7"/>
      <w:lvlJc w:val="left"/>
      <w:pPr>
        <w:ind w:left="3240" w:hanging="1080"/>
      </w:pPr>
    </w:lvl>
    <w:lvl w:ilvl="7">
      <w:start w:val="1"/>
      <w:numFmt w:val="decimal"/>
      <w:lvlText w:val="%1.%2.%3.%4.%5.%6.%7.%8"/>
      <w:lvlJc w:val="left"/>
      <w:pPr>
        <w:ind w:left="3600" w:hanging="1080"/>
      </w:pPr>
    </w:lvl>
    <w:lvl w:ilvl="8">
      <w:start w:val="1"/>
      <w:numFmt w:val="decimal"/>
      <w:lvlText w:val="%1.%2.%3.%4.%5.%6.%7.%8.%9"/>
      <w:lvlJc w:val="left"/>
      <w:pPr>
        <w:ind w:left="4320" w:hanging="1440"/>
      </w:pPr>
    </w:lvl>
  </w:abstractNum>
  <w:abstractNum w:abstractNumId="26" w15:restartNumberingAfterBreak="0">
    <w:nsid w:val="53D01D8C"/>
    <w:multiLevelType w:val="hybridMultilevel"/>
    <w:tmpl w:val="93525A08"/>
    <w:lvl w:ilvl="0" w:tplc="8D2C354A">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7" w15:restartNumberingAfterBreak="0">
    <w:nsid w:val="551A1557"/>
    <w:multiLevelType w:val="hybridMultilevel"/>
    <w:tmpl w:val="5C6E78A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56D61685"/>
    <w:multiLevelType w:val="hybridMultilevel"/>
    <w:tmpl w:val="0784D37A"/>
    <w:lvl w:ilvl="0" w:tplc="1EA2B3E0">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1">
    <w:nsid w:val="582A0812"/>
    <w:multiLevelType w:val="hybridMultilevel"/>
    <w:tmpl w:val="8278ACB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1">
    <w:nsid w:val="59C119B0"/>
    <w:multiLevelType w:val="multilevel"/>
    <w:tmpl w:val="93E4345A"/>
    <w:lvl w:ilvl="0">
      <w:start w:val="2"/>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1">
    <w:nsid w:val="5A85649A"/>
    <w:multiLevelType w:val="multilevel"/>
    <w:tmpl w:val="8278AC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04040C6"/>
    <w:multiLevelType w:val="hybridMultilevel"/>
    <w:tmpl w:val="78861920"/>
    <w:lvl w:ilvl="0" w:tplc="877C0A5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1">
    <w:nsid w:val="65BF1BE9"/>
    <w:multiLevelType w:val="multilevel"/>
    <w:tmpl w:val="BFE40734"/>
    <w:lvl w:ilvl="0">
      <w:start w:val="8"/>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1">
    <w:nsid w:val="693442BF"/>
    <w:multiLevelType w:val="multilevel"/>
    <w:tmpl w:val="DCB6C01A"/>
    <w:lvl w:ilvl="0">
      <w:start w:val="1"/>
      <w:numFmt w:val="decimal"/>
      <w:lvlText w:val="%1"/>
      <w:lvlJc w:val="left"/>
      <w:pPr>
        <w:ind w:left="360" w:hanging="360"/>
      </w:pPr>
      <w:rPr>
        <w:rFonts w:cs="Tahoma"/>
      </w:rPr>
    </w:lvl>
    <w:lvl w:ilvl="1">
      <w:start w:val="1"/>
      <w:numFmt w:val="decimal"/>
      <w:lvlText w:val="%1.%2"/>
      <w:lvlJc w:val="left"/>
      <w:pPr>
        <w:ind w:left="360" w:hanging="360"/>
      </w:pPr>
      <w:rPr>
        <w:rFonts w:cs="Tahoma"/>
      </w:rPr>
    </w:lvl>
    <w:lvl w:ilvl="2">
      <w:start w:val="1"/>
      <w:numFmt w:val="decimal"/>
      <w:lvlText w:val="%1.%2.%3"/>
      <w:lvlJc w:val="left"/>
      <w:pPr>
        <w:ind w:left="2130" w:hanging="720"/>
      </w:pPr>
      <w:rPr>
        <w:rFonts w:cs="Tahoma"/>
      </w:rPr>
    </w:lvl>
    <w:lvl w:ilvl="3">
      <w:start w:val="1"/>
      <w:numFmt w:val="decimal"/>
      <w:lvlText w:val="%1.%2.%3.%4"/>
      <w:lvlJc w:val="left"/>
      <w:pPr>
        <w:ind w:left="2835" w:hanging="720"/>
      </w:pPr>
      <w:rPr>
        <w:rFonts w:cs="Tahoma"/>
      </w:rPr>
    </w:lvl>
    <w:lvl w:ilvl="4">
      <w:start w:val="1"/>
      <w:numFmt w:val="decimal"/>
      <w:lvlText w:val="%1.%2.%3.%4.%5"/>
      <w:lvlJc w:val="left"/>
      <w:pPr>
        <w:ind w:left="3540" w:hanging="720"/>
      </w:pPr>
      <w:rPr>
        <w:rFonts w:cs="Tahoma"/>
      </w:rPr>
    </w:lvl>
    <w:lvl w:ilvl="5">
      <w:start w:val="1"/>
      <w:numFmt w:val="decimal"/>
      <w:lvlText w:val="%1.%2.%3.%4.%5.%6"/>
      <w:lvlJc w:val="left"/>
      <w:pPr>
        <w:ind w:left="4605" w:hanging="1080"/>
      </w:pPr>
      <w:rPr>
        <w:rFonts w:cs="Tahoma"/>
      </w:rPr>
    </w:lvl>
    <w:lvl w:ilvl="6">
      <w:start w:val="1"/>
      <w:numFmt w:val="decimal"/>
      <w:lvlText w:val="%1.%2.%3.%4.%5.%6.%7"/>
      <w:lvlJc w:val="left"/>
      <w:pPr>
        <w:ind w:left="5310" w:hanging="1080"/>
      </w:pPr>
      <w:rPr>
        <w:rFonts w:cs="Tahoma"/>
      </w:rPr>
    </w:lvl>
    <w:lvl w:ilvl="7">
      <w:start w:val="1"/>
      <w:numFmt w:val="decimal"/>
      <w:lvlText w:val="%1.%2.%3.%4.%5.%6.%7.%8"/>
      <w:lvlJc w:val="left"/>
      <w:pPr>
        <w:ind w:left="6015" w:hanging="1080"/>
      </w:pPr>
      <w:rPr>
        <w:rFonts w:cs="Tahoma"/>
      </w:rPr>
    </w:lvl>
    <w:lvl w:ilvl="8">
      <w:start w:val="1"/>
      <w:numFmt w:val="decimal"/>
      <w:lvlText w:val="%1.%2.%3.%4.%5.%6.%7.%8.%9"/>
      <w:lvlJc w:val="left"/>
      <w:pPr>
        <w:ind w:left="7080" w:hanging="1440"/>
      </w:pPr>
      <w:rPr>
        <w:rFonts w:cs="Tahoma"/>
      </w:rPr>
    </w:lvl>
  </w:abstractNum>
  <w:abstractNum w:abstractNumId="35" w15:restartNumberingAfterBreak="0">
    <w:nsid w:val="6BDA4EAE"/>
    <w:multiLevelType w:val="hybridMultilevel"/>
    <w:tmpl w:val="4484EA98"/>
    <w:lvl w:ilvl="0" w:tplc="346EE4D4">
      <w:numFmt w:val="bullet"/>
      <w:lvlText w:val="-"/>
      <w:lvlJc w:val="left"/>
      <w:pPr>
        <w:ind w:left="720" w:hanging="360"/>
      </w:pPr>
      <w:rPr>
        <w:rFonts w:ascii="Aptos" w:eastAsiaTheme="minorHAnsi"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D686CBD"/>
    <w:multiLevelType w:val="hybridMultilevel"/>
    <w:tmpl w:val="99501810"/>
    <w:lvl w:ilvl="0" w:tplc="7824A1FA">
      <w:numFmt w:val="bullet"/>
      <w:lvlText w:val="-"/>
      <w:lvlJc w:val="left"/>
      <w:pPr>
        <w:ind w:left="720" w:hanging="360"/>
      </w:pPr>
      <w:rPr>
        <w:rFonts w:ascii="Calibri" w:eastAsia="Times New Roman"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7" w15:restartNumberingAfterBreak="0">
    <w:nsid w:val="7000014F"/>
    <w:multiLevelType w:val="hybridMultilevel"/>
    <w:tmpl w:val="BFD86BD6"/>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38" w15:restartNumberingAfterBreak="0">
    <w:nsid w:val="70DC69C8"/>
    <w:multiLevelType w:val="hybridMultilevel"/>
    <w:tmpl w:val="CC34A2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18F49EC"/>
    <w:multiLevelType w:val="hybridMultilevel"/>
    <w:tmpl w:val="B9DA8C80"/>
    <w:lvl w:ilvl="0" w:tplc="7D769F40">
      <w:start w:val="1"/>
      <w:numFmt w:val="decimal"/>
      <w:lvlText w:val="%1."/>
      <w:lvlJc w:val="left"/>
      <w:pPr>
        <w:ind w:left="720" w:hanging="360"/>
      </w:pPr>
      <w:rPr>
        <w:rFonts w:hint="default"/>
        <w:b/>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1">
    <w:nsid w:val="73BC380B"/>
    <w:multiLevelType w:val="hybridMultilevel"/>
    <w:tmpl w:val="61F67326"/>
    <w:lvl w:ilvl="0" w:tplc="04090001">
      <w:start w:val="1"/>
      <w:numFmt w:val="bullet"/>
      <w:lvlText w:val=""/>
      <w:lvlJc w:val="left"/>
      <w:pPr>
        <w:tabs>
          <w:tab w:val="num" w:pos="1095"/>
        </w:tabs>
        <w:ind w:left="1095" w:hanging="360"/>
      </w:pPr>
      <w:rPr>
        <w:rFonts w:ascii="Symbol" w:hAnsi="Symbol" w:hint="default"/>
      </w:rPr>
    </w:lvl>
    <w:lvl w:ilvl="1" w:tplc="04100003">
      <w:start w:val="1"/>
      <w:numFmt w:val="bullet"/>
      <w:pStyle w:val="Level2"/>
      <w:lvlText w:val="o"/>
      <w:lvlJc w:val="left"/>
      <w:pPr>
        <w:tabs>
          <w:tab w:val="num" w:pos="1815"/>
        </w:tabs>
        <w:ind w:left="1815" w:hanging="360"/>
      </w:pPr>
      <w:rPr>
        <w:rFonts w:ascii="Courier New" w:hAnsi="Courier New" w:cs="Courier New" w:hint="default"/>
      </w:rPr>
    </w:lvl>
    <w:lvl w:ilvl="2" w:tplc="04100005">
      <w:start w:val="1"/>
      <w:numFmt w:val="bullet"/>
      <w:lvlText w:val=""/>
      <w:lvlJc w:val="left"/>
      <w:pPr>
        <w:tabs>
          <w:tab w:val="num" w:pos="2535"/>
        </w:tabs>
        <w:ind w:left="2535" w:hanging="360"/>
      </w:pPr>
      <w:rPr>
        <w:rFonts w:ascii="Wingdings" w:hAnsi="Wingdings" w:hint="default"/>
      </w:rPr>
    </w:lvl>
    <w:lvl w:ilvl="3" w:tplc="04100001">
      <w:start w:val="1"/>
      <w:numFmt w:val="bullet"/>
      <w:lvlText w:val=""/>
      <w:lvlJc w:val="left"/>
      <w:pPr>
        <w:tabs>
          <w:tab w:val="num" w:pos="3255"/>
        </w:tabs>
        <w:ind w:left="3255" w:hanging="360"/>
      </w:pPr>
      <w:rPr>
        <w:rFonts w:ascii="Symbol" w:hAnsi="Symbol" w:hint="default"/>
      </w:rPr>
    </w:lvl>
    <w:lvl w:ilvl="4" w:tplc="04100003">
      <w:start w:val="1"/>
      <w:numFmt w:val="bullet"/>
      <w:lvlText w:val="o"/>
      <w:lvlJc w:val="left"/>
      <w:pPr>
        <w:tabs>
          <w:tab w:val="num" w:pos="3975"/>
        </w:tabs>
        <w:ind w:left="3975" w:hanging="360"/>
      </w:pPr>
      <w:rPr>
        <w:rFonts w:ascii="Courier New" w:hAnsi="Courier New" w:cs="Courier New" w:hint="default"/>
      </w:rPr>
    </w:lvl>
    <w:lvl w:ilvl="5" w:tplc="04100005">
      <w:start w:val="1"/>
      <w:numFmt w:val="bullet"/>
      <w:lvlText w:val=""/>
      <w:lvlJc w:val="left"/>
      <w:pPr>
        <w:tabs>
          <w:tab w:val="num" w:pos="4695"/>
        </w:tabs>
        <w:ind w:left="4695" w:hanging="360"/>
      </w:pPr>
      <w:rPr>
        <w:rFonts w:ascii="Wingdings" w:hAnsi="Wingdings" w:hint="default"/>
      </w:rPr>
    </w:lvl>
    <w:lvl w:ilvl="6" w:tplc="04100001">
      <w:start w:val="1"/>
      <w:numFmt w:val="bullet"/>
      <w:lvlText w:val=""/>
      <w:lvlJc w:val="left"/>
      <w:pPr>
        <w:tabs>
          <w:tab w:val="num" w:pos="5415"/>
        </w:tabs>
        <w:ind w:left="5415" w:hanging="360"/>
      </w:pPr>
      <w:rPr>
        <w:rFonts w:ascii="Symbol" w:hAnsi="Symbol" w:hint="default"/>
      </w:rPr>
    </w:lvl>
    <w:lvl w:ilvl="7" w:tplc="04100003">
      <w:start w:val="1"/>
      <w:numFmt w:val="bullet"/>
      <w:lvlText w:val="o"/>
      <w:lvlJc w:val="left"/>
      <w:pPr>
        <w:tabs>
          <w:tab w:val="num" w:pos="6135"/>
        </w:tabs>
        <w:ind w:left="6135" w:hanging="360"/>
      </w:pPr>
      <w:rPr>
        <w:rFonts w:ascii="Courier New" w:hAnsi="Courier New" w:cs="Courier New" w:hint="default"/>
      </w:rPr>
    </w:lvl>
    <w:lvl w:ilvl="8" w:tplc="04100005">
      <w:start w:val="1"/>
      <w:numFmt w:val="bullet"/>
      <w:lvlText w:val=""/>
      <w:lvlJc w:val="left"/>
      <w:pPr>
        <w:tabs>
          <w:tab w:val="num" w:pos="6855"/>
        </w:tabs>
        <w:ind w:left="6855" w:hanging="360"/>
      </w:pPr>
      <w:rPr>
        <w:rFonts w:ascii="Wingdings" w:hAnsi="Wingdings" w:hint="default"/>
      </w:rPr>
    </w:lvl>
  </w:abstractNum>
  <w:num w:numId="1" w16cid:durableId="540672519">
    <w:abstractNumId w:val="29"/>
  </w:num>
  <w:num w:numId="2" w16cid:durableId="597563385">
    <w:abstractNumId w:val="31"/>
  </w:num>
  <w:num w:numId="3" w16cid:durableId="1870996102">
    <w:abstractNumId w:val="40"/>
  </w:num>
  <w:num w:numId="4" w16cid:durableId="1240109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34745509">
    <w:abstractNumId w:val="16"/>
  </w:num>
  <w:num w:numId="6" w16cid:durableId="1425028738">
    <w:abstractNumId w:val="30"/>
  </w:num>
  <w:num w:numId="7" w16cid:durableId="646471130">
    <w:abstractNumId w:val="5"/>
  </w:num>
  <w:num w:numId="8" w16cid:durableId="1753120175">
    <w:abstractNumId w:val="3"/>
  </w:num>
  <w:num w:numId="9" w16cid:durableId="1497726135">
    <w:abstractNumId w:val="10"/>
  </w:num>
  <w:num w:numId="10" w16cid:durableId="270286306">
    <w:abstractNumId w:val="24"/>
  </w:num>
  <w:num w:numId="11" w16cid:durableId="1193767955">
    <w:abstractNumId w:val="19"/>
  </w:num>
  <w:num w:numId="12" w16cid:durableId="1839881238">
    <w:abstractNumId w:val="3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27906501">
    <w:abstractNumId w:val="25"/>
  </w:num>
  <w:num w:numId="14" w16cid:durableId="1280406042">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268847">
    <w:abstractNumId w:val="4"/>
    <w:lvlOverride w:ilvl="0">
      <w:startOverride w:val="9"/>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29656238">
    <w:abstractNumId w:val="7"/>
  </w:num>
  <w:num w:numId="17" w16cid:durableId="66999943">
    <w:abstractNumId w:val="22"/>
  </w:num>
  <w:num w:numId="18" w16cid:durableId="2051685784">
    <w:abstractNumId w:val="39"/>
  </w:num>
  <w:num w:numId="19" w16cid:durableId="1501627621">
    <w:abstractNumId w:val="21"/>
  </w:num>
  <w:num w:numId="20" w16cid:durableId="1064370688">
    <w:abstractNumId w:val="1"/>
  </w:num>
  <w:num w:numId="21" w16cid:durableId="367531434">
    <w:abstractNumId w:val="0"/>
  </w:num>
  <w:num w:numId="22" w16cid:durableId="370500023">
    <w:abstractNumId w:val="18"/>
  </w:num>
  <w:num w:numId="23" w16cid:durableId="1953786330">
    <w:abstractNumId w:val="2"/>
  </w:num>
  <w:num w:numId="24" w16cid:durableId="967468711">
    <w:abstractNumId w:val="26"/>
  </w:num>
  <w:num w:numId="25" w16cid:durableId="407389546">
    <w:abstractNumId w:val="37"/>
  </w:num>
  <w:num w:numId="26" w16cid:durableId="56905052">
    <w:abstractNumId w:val="38"/>
  </w:num>
  <w:num w:numId="27" w16cid:durableId="1698238783">
    <w:abstractNumId w:val="17"/>
  </w:num>
  <w:num w:numId="28" w16cid:durableId="952324746">
    <w:abstractNumId w:val="32"/>
  </w:num>
  <w:num w:numId="29" w16cid:durableId="1629166694">
    <w:abstractNumId w:val="27"/>
  </w:num>
  <w:num w:numId="30" w16cid:durableId="1346711766">
    <w:abstractNumId w:val="23"/>
  </w:num>
  <w:num w:numId="31" w16cid:durableId="1053579700">
    <w:abstractNumId w:val="36"/>
  </w:num>
  <w:num w:numId="32" w16cid:durableId="155002823">
    <w:abstractNumId w:val="14"/>
  </w:num>
  <w:num w:numId="33" w16cid:durableId="815804332">
    <w:abstractNumId w:val="28"/>
  </w:num>
  <w:num w:numId="34" w16cid:durableId="365562812">
    <w:abstractNumId w:val="12"/>
  </w:num>
  <w:num w:numId="35" w16cid:durableId="754089683">
    <w:abstractNumId w:val="6"/>
  </w:num>
  <w:num w:numId="36" w16cid:durableId="1543009231">
    <w:abstractNumId w:val="35"/>
  </w:num>
  <w:num w:numId="37" w16cid:durableId="1546720615">
    <w:abstractNumId w:val="8"/>
  </w:num>
  <w:num w:numId="38" w16cid:durableId="173693820">
    <w:abstractNumId w:val="15"/>
  </w:num>
  <w:num w:numId="39" w16cid:durableId="1338116239">
    <w:abstractNumId w:val="9"/>
  </w:num>
  <w:num w:numId="40" w16cid:durableId="1733577893">
    <w:abstractNumId w:val="13"/>
  </w:num>
  <w:num w:numId="41" w16cid:durableId="17953224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FC3"/>
    <w:rsid w:val="00011AA7"/>
    <w:rsid w:val="0001221E"/>
    <w:rsid w:val="0001666D"/>
    <w:rsid w:val="000261C0"/>
    <w:rsid w:val="00027DEF"/>
    <w:rsid w:val="000342FB"/>
    <w:rsid w:val="00034EF9"/>
    <w:rsid w:val="00035EA6"/>
    <w:rsid w:val="000422E9"/>
    <w:rsid w:val="00042697"/>
    <w:rsid w:val="000452D6"/>
    <w:rsid w:val="00051405"/>
    <w:rsid w:val="00051A35"/>
    <w:rsid w:val="00055953"/>
    <w:rsid w:val="000565B9"/>
    <w:rsid w:val="00066346"/>
    <w:rsid w:val="000734D0"/>
    <w:rsid w:val="000822E3"/>
    <w:rsid w:val="00082AEA"/>
    <w:rsid w:val="00085C40"/>
    <w:rsid w:val="000910BF"/>
    <w:rsid w:val="000A0B9E"/>
    <w:rsid w:val="000A436F"/>
    <w:rsid w:val="000A75F3"/>
    <w:rsid w:val="000B1374"/>
    <w:rsid w:val="000B1785"/>
    <w:rsid w:val="000B1870"/>
    <w:rsid w:val="000B30FC"/>
    <w:rsid w:val="000B6125"/>
    <w:rsid w:val="000C1A7D"/>
    <w:rsid w:val="000C2F4E"/>
    <w:rsid w:val="000C4CC4"/>
    <w:rsid w:val="000C4D18"/>
    <w:rsid w:val="000C561D"/>
    <w:rsid w:val="000C5DD0"/>
    <w:rsid w:val="000C5F04"/>
    <w:rsid w:val="000C6BA3"/>
    <w:rsid w:val="000D04BE"/>
    <w:rsid w:val="000D123F"/>
    <w:rsid w:val="000D1F03"/>
    <w:rsid w:val="000D6918"/>
    <w:rsid w:val="000E1B2A"/>
    <w:rsid w:val="000E3643"/>
    <w:rsid w:val="000E41D5"/>
    <w:rsid w:val="000E4E2B"/>
    <w:rsid w:val="000E4F72"/>
    <w:rsid w:val="000F2B6F"/>
    <w:rsid w:val="00101202"/>
    <w:rsid w:val="001047E0"/>
    <w:rsid w:val="00111A79"/>
    <w:rsid w:val="00112193"/>
    <w:rsid w:val="00112E08"/>
    <w:rsid w:val="00115286"/>
    <w:rsid w:val="0012285F"/>
    <w:rsid w:val="00123D5F"/>
    <w:rsid w:val="00123DCC"/>
    <w:rsid w:val="00131223"/>
    <w:rsid w:val="00133A1C"/>
    <w:rsid w:val="00133D62"/>
    <w:rsid w:val="001345FA"/>
    <w:rsid w:val="00134B8A"/>
    <w:rsid w:val="001367AC"/>
    <w:rsid w:val="001376F1"/>
    <w:rsid w:val="00146639"/>
    <w:rsid w:val="001478A6"/>
    <w:rsid w:val="00162EBD"/>
    <w:rsid w:val="00167525"/>
    <w:rsid w:val="00172F86"/>
    <w:rsid w:val="00174DBB"/>
    <w:rsid w:val="001772F8"/>
    <w:rsid w:val="0018304A"/>
    <w:rsid w:val="0018663D"/>
    <w:rsid w:val="0019093D"/>
    <w:rsid w:val="00191498"/>
    <w:rsid w:val="00192233"/>
    <w:rsid w:val="00192BFC"/>
    <w:rsid w:val="00194E59"/>
    <w:rsid w:val="001A03B9"/>
    <w:rsid w:val="001B1AC8"/>
    <w:rsid w:val="001B65FC"/>
    <w:rsid w:val="001C35B9"/>
    <w:rsid w:val="001C530A"/>
    <w:rsid w:val="001C6E74"/>
    <w:rsid w:val="001D0F22"/>
    <w:rsid w:val="001D1D1E"/>
    <w:rsid w:val="001D405E"/>
    <w:rsid w:val="001D6D7C"/>
    <w:rsid w:val="001E34E0"/>
    <w:rsid w:val="001E4335"/>
    <w:rsid w:val="001E56C6"/>
    <w:rsid w:val="001F5B3B"/>
    <w:rsid w:val="00201A1E"/>
    <w:rsid w:val="0020295E"/>
    <w:rsid w:val="00203523"/>
    <w:rsid w:val="0020412D"/>
    <w:rsid w:val="00206F36"/>
    <w:rsid w:val="00210844"/>
    <w:rsid w:val="00211906"/>
    <w:rsid w:val="00211991"/>
    <w:rsid w:val="00211EE5"/>
    <w:rsid w:val="00215503"/>
    <w:rsid w:val="00217F91"/>
    <w:rsid w:val="0022275E"/>
    <w:rsid w:val="002250E3"/>
    <w:rsid w:val="002275EA"/>
    <w:rsid w:val="00227B83"/>
    <w:rsid w:val="00231F29"/>
    <w:rsid w:val="0023464F"/>
    <w:rsid w:val="00243541"/>
    <w:rsid w:val="00245B4D"/>
    <w:rsid w:val="002461F9"/>
    <w:rsid w:val="00250FF2"/>
    <w:rsid w:val="00252477"/>
    <w:rsid w:val="0025667D"/>
    <w:rsid w:val="00260398"/>
    <w:rsid w:val="00261FA6"/>
    <w:rsid w:val="0026201E"/>
    <w:rsid w:val="0026322B"/>
    <w:rsid w:val="00266711"/>
    <w:rsid w:val="0027304D"/>
    <w:rsid w:val="002765ED"/>
    <w:rsid w:val="0027685C"/>
    <w:rsid w:val="00276CB2"/>
    <w:rsid w:val="00281267"/>
    <w:rsid w:val="00283963"/>
    <w:rsid w:val="00284F4A"/>
    <w:rsid w:val="00286375"/>
    <w:rsid w:val="002867C1"/>
    <w:rsid w:val="00292AC6"/>
    <w:rsid w:val="002A28F5"/>
    <w:rsid w:val="002A54B4"/>
    <w:rsid w:val="002B3A09"/>
    <w:rsid w:val="002B5424"/>
    <w:rsid w:val="002C0FE3"/>
    <w:rsid w:val="002C1EC7"/>
    <w:rsid w:val="002C444C"/>
    <w:rsid w:val="002C5F6E"/>
    <w:rsid w:val="002C6AC7"/>
    <w:rsid w:val="002D0013"/>
    <w:rsid w:val="002D5420"/>
    <w:rsid w:val="002E06C0"/>
    <w:rsid w:val="002E08F8"/>
    <w:rsid w:val="002E314C"/>
    <w:rsid w:val="002E44D7"/>
    <w:rsid w:val="002F3FA9"/>
    <w:rsid w:val="00301EB9"/>
    <w:rsid w:val="00302205"/>
    <w:rsid w:val="00306CC8"/>
    <w:rsid w:val="00310E75"/>
    <w:rsid w:val="00313A8A"/>
    <w:rsid w:val="003159A1"/>
    <w:rsid w:val="00315C56"/>
    <w:rsid w:val="003168E9"/>
    <w:rsid w:val="003210A4"/>
    <w:rsid w:val="00325FFE"/>
    <w:rsid w:val="00330C3C"/>
    <w:rsid w:val="003364E5"/>
    <w:rsid w:val="003373F5"/>
    <w:rsid w:val="00337925"/>
    <w:rsid w:val="00343A91"/>
    <w:rsid w:val="00353C74"/>
    <w:rsid w:val="003603D5"/>
    <w:rsid w:val="00361F99"/>
    <w:rsid w:val="00362801"/>
    <w:rsid w:val="00363070"/>
    <w:rsid w:val="00375447"/>
    <w:rsid w:val="00381884"/>
    <w:rsid w:val="003827EA"/>
    <w:rsid w:val="003829ED"/>
    <w:rsid w:val="00382EC4"/>
    <w:rsid w:val="00384199"/>
    <w:rsid w:val="00387C09"/>
    <w:rsid w:val="003906E1"/>
    <w:rsid w:val="00394B2D"/>
    <w:rsid w:val="003977AA"/>
    <w:rsid w:val="003A04A2"/>
    <w:rsid w:val="003A1C9A"/>
    <w:rsid w:val="003A7234"/>
    <w:rsid w:val="003B75E6"/>
    <w:rsid w:val="003C5DB4"/>
    <w:rsid w:val="003C74C2"/>
    <w:rsid w:val="003D2170"/>
    <w:rsid w:val="003D4E7D"/>
    <w:rsid w:val="003D7536"/>
    <w:rsid w:val="003E2CE8"/>
    <w:rsid w:val="003E6453"/>
    <w:rsid w:val="003E6B7D"/>
    <w:rsid w:val="003E6BC6"/>
    <w:rsid w:val="003E7F28"/>
    <w:rsid w:val="003F5367"/>
    <w:rsid w:val="003F5507"/>
    <w:rsid w:val="003F687F"/>
    <w:rsid w:val="00400A50"/>
    <w:rsid w:val="00407885"/>
    <w:rsid w:val="00411EE1"/>
    <w:rsid w:val="00412DF2"/>
    <w:rsid w:val="00420FCE"/>
    <w:rsid w:val="00422EA6"/>
    <w:rsid w:val="00425EBB"/>
    <w:rsid w:val="00427981"/>
    <w:rsid w:val="00430775"/>
    <w:rsid w:val="004334BF"/>
    <w:rsid w:val="004341E8"/>
    <w:rsid w:val="00437C4D"/>
    <w:rsid w:val="0044247F"/>
    <w:rsid w:val="00445CC7"/>
    <w:rsid w:val="00446694"/>
    <w:rsid w:val="00450A37"/>
    <w:rsid w:val="00454315"/>
    <w:rsid w:val="00456916"/>
    <w:rsid w:val="004573E3"/>
    <w:rsid w:val="00460509"/>
    <w:rsid w:val="00461275"/>
    <w:rsid w:val="004622A3"/>
    <w:rsid w:val="00465E48"/>
    <w:rsid w:val="00472202"/>
    <w:rsid w:val="00476F89"/>
    <w:rsid w:val="00482590"/>
    <w:rsid w:val="00483F20"/>
    <w:rsid w:val="00491066"/>
    <w:rsid w:val="004930F1"/>
    <w:rsid w:val="00497331"/>
    <w:rsid w:val="00497692"/>
    <w:rsid w:val="004976CD"/>
    <w:rsid w:val="00497F60"/>
    <w:rsid w:val="004A0B43"/>
    <w:rsid w:val="004A6E07"/>
    <w:rsid w:val="004B3C16"/>
    <w:rsid w:val="004C1402"/>
    <w:rsid w:val="004C69C0"/>
    <w:rsid w:val="004C72A4"/>
    <w:rsid w:val="004D0243"/>
    <w:rsid w:val="004D065C"/>
    <w:rsid w:val="004D2A71"/>
    <w:rsid w:val="004D4136"/>
    <w:rsid w:val="004D58A4"/>
    <w:rsid w:val="004D7820"/>
    <w:rsid w:val="004D78DA"/>
    <w:rsid w:val="004D7A63"/>
    <w:rsid w:val="004E0EBA"/>
    <w:rsid w:val="004E486A"/>
    <w:rsid w:val="004E7592"/>
    <w:rsid w:val="00501CEB"/>
    <w:rsid w:val="00506DD0"/>
    <w:rsid w:val="00510A5E"/>
    <w:rsid w:val="00514055"/>
    <w:rsid w:val="00514DDB"/>
    <w:rsid w:val="0052131F"/>
    <w:rsid w:val="00522C8D"/>
    <w:rsid w:val="00524C30"/>
    <w:rsid w:val="00525855"/>
    <w:rsid w:val="0053129F"/>
    <w:rsid w:val="00536372"/>
    <w:rsid w:val="00537348"/>
    <w:rsid w:val="005403C3"/>
    <w:rsid w:val="00540CC5"/>
    <w:rsid w:val="00544CF1"/>
    <w:rsid w:val="00547F06"/>
    <w:rsid w:val="00554530"/>
    <w:rsid w:val="005555C8"/>
    <w:rsid w:val="00556563"/>
    <w:rsid w:val="00560877"/>
    <w:rsid w:val="00565B95"/>
    <w:rsid w:val="00573636"/>
    <w:rsid w:val="00577349"/>
    <w:rsid w:val="005773A5"/>
    <w:rsid w:val="0058354A"/>
    <w:rsid w:val="00587E17"/>
    <w:rsid w:val="00591B0B"/>
    <w:rsid w:val="005A6AD2"/>
    <w:rsid w:val="005B083D"/>
    <w:rsid w:val="005B6917"/>
    <w:rsid w:val="005B6BD2"/>
    <w:rsid w:val="005C42E9"/>
    <w:rsid w:val="005C4D37"/>
    <w:rsid w:val="005C6A73"/>
    <w:rsid w:val="005D19FD"/>
    <w:rsid w:val="005D25EF"/>
    <w:rsid w:val="005D26BA"/>
    <w:rsid w:val="005D5C57"/>
    <w:rsid w:val="005D7A6D"/>
    <w:rsid w:val="005E1B00"/>
    <w:rsid w:val="005E5BB4"/>
    <w:rsid w:val="005F4FB8"/>
    <w:rsid w:val="005F6657"/>
    <w:rsid w:val="005F6671"/>
    <w:rsid w:val="00600264"/>
    <w:rsid w:val="00605B79"/>
    <w:rsid w:val="006077E6"/>
    <w:rsid w:val="00610DE5"/>
    <w:rsid w:val="00610E68"/>
    <w:rsid w:val="0062144A"/>
    <w:rsid w:val="0062265A"/>
    <w:rsid w:val="00623501"/>
    <w:rsid w:val="00624181"/>
    <w:rsid w:val="00626515"/>
    <w:rsid w:val="00627AAA"/>
    <w:rsid w:val="00636806"/>
    <w:rsid w:val="006370D7"/>
    <w:rsid w:val="00643445"/>
    <w:rsid w:val="00643915"/>
    <w:rsid w:val="00646EE0"/>
    <w:rsid w:val="006470B7"/>
    <w:rsid w:val="00650E01"/>
    <w:rsid w:val="0065376A"/>
    <w:rsid w:val="00654A89"/>
    <w:rsid w:val="006565CC"/>
    <w:rsid w:val="006603DA"/>
    <w:rsid w:val="006629FF"/>
    <w:rsid w:val="00665B8C"/>
    <w:rsid w:val="00665D7F"/>
    <w:rsid w:val="006705F8"/>
    <w:rsid w:val="00671576"/>
    <w:rsid w:val="006719A7"/>
    <w:rsid w:val="006733F9"/>
    <w:rsid w:val="00673C89"/>
    <w:rsid w:val="0067605E"/>
    <w:rsid w:val="006830D1"/>
    <w:rsid w:val="006832C3"/>
    <w:rsid w:val="006865C1"/>
    <w:rsid w:val="00692150"/>
    <w:rsid w:val="006925CD"/>
    <w:rsid w:val="006A2396"/>
    <w:rsid w:val="006A3C47"/>
    <w:rsid w:val="006C02D1"/>
    <w:rsid w:val="006C1E21"/>
    <w:rsid w:val="006C3D91"/>
    <w:rsid w:val="006C664C"/>
    <w:rsid w:val="006D1AD6"/>
    <w:rsid w:val="006D5CEF"/>
    <w:rsid w:val="006D706E"/>
    <w:rsid w:val="006E27D7"/>
    <w:rsid w:val="006E49EE"/>
    <w:rsid w:val="006E6A7B"/>
    <w:rsid w:val="006F0C7D"/>
    <w:rsid w:val="006F109E"/>
    <w:rsid w:val="006F7194"/>
    <w:rsid w:val="006F74F3"/>
    <w:rsid w:val="0070278A"/>
    <w:rsid w:val="007137AB"/>
    <w:rsid w:val="007139D0"/>
    <w:rsid w:val="00714039"/>
    <w:rsid w:val="00716E14"/>
    <w:rsid w:val="007215BB"/>
    <w:rsid w:val="00721B89"/>
    <w:rsid w:val="00731B78"/>
    <w:rsid w:val="00731DA4"/>
    <w:rsid w:val="00737C59"/>
    <w:rsid w:val="0074024F"/>
    <w:rsid w:val="0074736F"/>
    <w:rsid w:val="00753E2B"/>
    <w:rsid w:val="0075569C"/>
    <w:rsid w:val="00762146"/>
    <w:rsid w:val="007625EE"/>
    <w:rsid w:val="00763959"/>
    <w:rsid w:val="00764915"/>
    <w:rsid w:val="00765CF8"/>
    <w:rsid w:val="00771E00"/>
    <w:rsid w:val="007721D1"/>
    <w:rsid w:val="0077687A"/>
    <w:rsid w:val="00776E90"/>
    <w:rsid w:val="00791F9F"/>
    <w:rsid w:val="0079386D"/>
    <w:rsid w:val="00793B6F"/>
    <w:rsid w:val="007955C6"/>
    <w:rsid w:val="007A5BB6"/>
    <w:rsid w:val="007B237A"/>
    <w:rsid w:val="007C64B6"/>
    <w:rsid w:val="007D17BF"/>
    <w:rsid w:val="007D2D89"/>
    <w:rsid w:val="007E00CF"/>
    <w:rsid w:val="007E0679"/>
    <w:rsid w:val="007E4A8C"/>
    <w:rsid w:val="007F1CD0"/>
    <w:rsid w:val="007F59A6"/>
    <w:rsid w:val="007F5E46"/>
    <w:rsid w:val="0080090A"/>
    <w:rsid w:val="00807D73"/>
    <w:rsid w:val="008105FB"/>
    <w:rsid w:val="00820625"/>
    <w:rsid w:val="008231D8"/>
    <w:rsid w:val="0082516B"/>
    <w:rsid w:val="00830C36"/>
    <w:rsid w:val="00834901"/>
    <w:rsid w:val="00840B23"/>
    <w:rsid w:val="00842FC3"/>
    <w:rsid w:val="00843458"/>
    <w:rsid w:val="008446E4"/>
    <w:rsid w:val="008448C4"/>
    <w:rsid w:val="00845DC0"/>
    <w:rsid w:val="00847AF0"/>
    <w:rsid w:val="00854091"/>
    <w:rsid w:val="008540B9"/>
    <w:rsid w:val="00857A9C"/>
    <w:rsid w:val="00862641"/>
    <w:rsid w:val="00865B0B"/>
    <w:rsid w:val="008742D2"/>
    <w:rsid w:val="00875EEB"/>
    <w:rsid w:val="00876A38"/>
    <w:rsid w:val="00876A63"/>
    <w:rsid w:val="0087730B"/>
    <w:rsid w:val="0088127F"/>
    <w:rsid w:val="00883670"/>
    <w:rsid w:val="00887926"/>
    <w:rsid w:val="00897DBE"/>
    <w:rsid w:val="008A5643"/>
    <w:rsid w:val="008C5A52"/>
    <w:rsid w:val="008C65C6"/>
    <w:rsid w:val="008C6748"/>
    <w:rsid w:val="008C6D2D"/>
    <w:rsid w:val="008D143B"/>
    <w:rsid w:val="008D4167"/>
    <w:rsid w:val="008D50A1"/>
    <w:rsid w:val="008D7791"/>
    <w:rsid w:val="008E134C"/>
    <w:rsid w:val="008E1DC4"/>
    <w:rsid w:val="008F2676"/>
    <w:rsid w:val="0091102E"/>
    <w:rsid w:val="00911BC1"/>
    <w:rsid w:val="009136CA"/>
    <w:rsid w:val="009155EE"/>
    <w:rsid w:val="00916880"/>
    <w:rsid w:val="00917F1C"/>
    <w:rsid w:val="00924AE2"/>
    <w:rsid w:val="00924CFF"/>
    <w:rsid w:val="00925639"/>
    <w:rsid w:val="009277B6"/>
    <w:rsid w:val="009371D2"/>
    <w:rsid w:val="00946044"/>
    <w:rsid w:val="009461D3"/>
    <w:rsid w:val="009472A2"/>
    <w:rsid w:val="00947487"/>
    <w:rsid w:val="009513E8"/>
    <w:rsid w:val="00951744"/>
    <w:rsid w:val="009537EB"/>
    <w:rsid w:val="009571F9"/>
    <w:rsid w:val="00957A9F"/>
    <w:rsid w:val="009603E0"/>
    <w:rsid w:val="00966B3E"/>
    <w:rsid w:val="009673AD"/>
    <w:rsid w:val="009676C9"/>
    <w:rsid w:val="00967845"/>
    <w:rsid w:val="009719C2"/>
    <w:rsid w:val="00973644"/>
    <w:rsid w:val="00976AA1"/>
    <w:rsid w:val="00980355"/>
    <w:rsid w:val="00980C38"/>
    <w:rsid w:val="00983AFF"/>
    <w:rsid w:val="00984BD5"/>
    <w:rsid w:val="009932BB"/>
    <w:rsid w:val="00996BA4"/>
    <w:rsid w:val="009A1CB8"/>
    <w:rsid w:val="009A27C0"/>
    <w:rsid w:val="009A36DF"/>
    <w:rsid w:val="009A4B84"/>
    <w:rsid w:val="009B2B7C"/>
    <w:rsid w:val="009B4321"/>
    <w:rsid w:val="009B7BFB"/>
    <w:rsid w:val="009B7FB3"/>
    <w:rsid w:val="009D04E6"/>
    <w:rsid w:val="009E435D"/>
    <w:rsid w:val="009E5E5D"/>
    <w:rsid w:val="009F2A74"/>
    <w:rsid w:val="009F2CBB"/>
    <w:rsid w:val="009F7B97"/>
    <w:rsid w:val="00A0019F"/>
    <w:rsid w:val="00A011F4"/>
    <w:rsid w:val="00A03529"/>
    <w:rsid w:val="00A05EA7"/>
    <w:rsid w:val="00A07EBE"/>
    <w:rsid w:val="00A1058E"/>
    <w:rsid w:val="00A11052"/>
    <w:rsid w:val="00A12A89"/>
    <w:rsid w:val="00A13FB0"/>
    <w:rsid w:val="00A201E4"/>
    <w:rsid w:val="00A2063F"/>
    <w:rsid w:val="00A23F5F"/>
    <w:rsid w:val="00A43F3D"/>
    <w:rsid w:val="00A51AF9"/>
    <w:rsid w:val="00A64052"/>
    <w:rsid w:val="00A67253"/>
    <w:rsid w:val="00A67732"/>
    <w:rsid w:val="00A72404"/>
    <w:rsid w:val="00A75974"/>
    <w:rsid w:val="00A8031A"/>
    <w:rsid w:val="00A82635"/>
    <w:rsid w:val="00A846E2"/>
    <w:rsid w:val="00A85402"/>
    <w:rsid w:val="00A8676D"/>
    <w:rsid w:val="00A91E2D"/>
    <w:rsid w:val="00A92DD1"/>
    <w:rsid w:val="00A93D15"/>
    <w:rsid w:val="00AA10DE"/>
    <w:rsid w:val="00AA60B8"/>
    <w:rsid w:val="00AA6D5E"/>
    <w:rsid w:val="00AB2150"/>
    <w:rsid w:val="00AB27DD"/>
    <w:rsid w:val="00AB5352"/>
    <w:rsid w:val="00AC1B3B"/>
    <w:rsid w:val="00AC2124"/>
    <w:rsid w:val="00AC39B7"/>
    <w:rsid w:val="00AC5C3C"/>
    <w:rsid w:val="00AC670F"/>
    <w:rsid w:val="00AC7BA6"/>
    <w:rsid w:val="00AD5FC8"/>
    <w:rsid w:val="00AD7B8D"/>
    <w:rsid w:val="00AD7EC5"/>
    <w:rsid w:val="00AE2399"/>
    <w:rsid w:val="00AF1D9F"/>
    <w:rsid w:val="00AF4246"/>
    <w:rsid w:val="00AF4286"/>
    <w:rsid w:val="00AF44AD"/>
    <w:rsid w:val="00AF63AD"/>
    <w:rsid w:val="00B057CF"/>
    <w:rsid w:val="00B06161"/>
    <w:rsid w:val="00B07C41"/>
    <w:rsid w:val="00B15492"/>
    <w:rsid w:val="00B214E9"/>
    <w:rsid w:val="00B25841"/>
    <w:rsid w:val="00B411A2"/>
    <w:rsid w:val="00B42F49"/>
    <w:rsid w:val="00B452DE"/>
    <w:rsid w:val="00B45E81"/>
    <w:rsid w:val="00B46277"/>
    <w:rsid w:val="00B55DDD"/>
    <w:rsid w:val="00B60A90"/>
    <w:rsid w:val="00B61DC1"/>
    <w:rsid w:val="00B61F4C"/>
    <w:rsid w:val="00B637B0"/>
    <w:rsid w:val="00B71F60"/>
    <w:rsid w:val="00B72080"/>
    <w:rsid w:val="00B764BB"/>
    <w:rsid w:val="00B77290"/>
    <w:rsid w:val="00B804D7"/>
    <w:rsid w:val="00B840FE"/>
    <w:rsid w:val="00B86124"/>
    <w:rsid w:val="00B86169"/>
    <w:rsid w:val="00B86F86"/>
    <w:rsid w:val="00B87EE2"/>
    <w:rsid w:val="00B9708C"/>
    <w:rsid w:val="00BA387D"/>
    <w:rsid w:val="00BA6444"/>
    <w:rsid w:val="00BA6920"/>
    <w:rsid w:val="00BA7205"/>
    <w:rsid w:val="00BB2D01"/>
    <w:rsid w:val="00BB43C7"/>
    <w:rsid w:val="00BC1105"/>
    <w:rsid w:val="00BC343D"/>
    <w:rsid w:val="00BC366F"/>
    <w:rsid w:val="00BC3DE3"/>
    <w:rsid w:val="00BD1207"/>
    <w:rsid w:val="00BD577F"/>
    <w:rsid w:val="00BD637D"/>
    <w:rsid w:val="00BD7383"/>
    <w:rsid w:val="00BE297C"/>
    <w:rsid w:val="00BE448C"/>
    <w:rsid w:val="00BE52A0"/>
    <w:rsid w:val="00BF0EA4"/>
    <w:rsid w:val="00BF20D0"/>
    <w:rsid w:val="00C051ED"/>
    <w:rsid w:val="00C11496"/>
    <w:rsid w:val="00C11E97"/>
    <w:rsid w:val="00C120A9"/>
    <w:rsid w:val="00C144EA"/>
    <w:rsid w:val="00C15CC3"/>
    <w:rsid w:val="00C1625C"/>
    <w:rsid w:val="00C1796A"/>
    <w:rsid w:val="00C2727A"/>
    <w:rsid w:val="00C3035B"/>
    <w:rsid w:val="00C3185C"/>
    <w:rsid w:val="00C41391"/>
    <w:rsid w:val="00C44E0F"/>
    <w:rsid w:val="00C47A36"/>
    <w:rsid w:val="00C47BE7"/>
    <w:rsid w:val="00C5275C"/>
    <w:rsid w:val="00C62960"/>
    <w:rsid w:val="00C633D4"/>
    <w:rsid w:val="00C65D5C"/>
    <w:rsid w:val="00C80DF8"/>
    <w:rsid w:val="00C852A1"/>
    <w:rsid w:val="00C86000"/>
    <w:rsid w:val="00C87BC7"/>
    <w:rsid w:val="00C91F18"/>
    <w:rsid w:val="00CA3FB6"/>
    <w:rsid w:val="00CB103D"/>
    <w:rsid w:val="00CB149A"/>
    <w:rsid w:val="00CC369B"/>
    <w:rsid w:val="00CC3B89"/>
    <w:rsid w:val="00CC7E7C"/>
    <w:rsid w:val="00CD0511"/>
    <w:rsid w:val="00CD28EA"/>
    <w:rsid w:val="00CD5AAA"/>
    <w:rsid w:val="00CD64F2"/>
    <w:rsid w:val="00CD79B8"/>
    <w:rsid w:val="00CE4578"/>
    <w:rsid w:val="00CE578D"/>
    <w:rsid w:val="00CE60D8"/>
    <w:rsid w:val="00CF59EA"/>
    <w:rsid w:val="00D05732"/>
    <w:rsid w:val="00D129DD"/>
    <w:rsid w:val="00D2230D"/>
    <w:rsid w:val="00D227D1"/>
    <w:rsid w:val="00D2510F"/>
    <w:rsid w:val="00D2748C"/>
    <w:rsid w:val="00D3426D"/>
    <w:rsid w:val="00D34B8B"/>
    <w:rsid w:val="00D4029F"/>
    <w:rsid w:val="00D41695"/>
    <w:rsid w:val="00D421D7"/>
    <w:rsid w:val="00D44918"/>
    <w:rsid w:val="00D44BA7"/>
    <w:rsid w:val="00D47BF8"/>
    <w:rsid w:val="00D52196"/>
    <w:rsid w:val="00D53DE6"/>
    <w:rsid w:val="00D6118B"/>
    <w:rsid w:val="00D614D4"/>
    <w:rsid w:val="00D636BB"/>
    <w:rsid w:val="00D70CFE"/>
    <w:rsid w:val="00D723B9"/>
    <w:rsid w:val="00D75AE2"/>
    <w:rsid w:val="00D76C1F"/>
    <w:rsid w:val="00D82457"/>
    <w:rsid w:val="00D8516B"/>
    <w:rsid w:val="00D859CA"/>
    <w:rsid w:val="00D87E69"/>
    <w:rsid w:val="00D94E35"/>
    <w:rsid w:val="00DA058E"/>
    <w:rsid w:val="00DA4C7E"/>
    <w:rsid w:val="00DA58BC"/>
    <w:rsid w:val="00DA680B"/>
    <w:rsid w:val="00DB5EA4"/>
    <w:rsid w:val="00DC37FA"/>
    <w:rsid w:val="00DC3C96"/>
    <w:rsid w:val="00DD2434"/>
    <w:rsid w:val="00DD4FAB"/>
    <w:rsid w:val="00DD577D"/>
    <w:rsid w:val="00DD5A61"/>
    <w:rsid w:val="00DE282F"/>
    <w:rsid w:val="00DE5FEA"/>
    <w:rsid w:val="00DE6E11"/>
    <w:rsid w:val="00DF1ABA"/>
    <w:rsid w:val="00DF35FE"/>
    <w:rsid w:val="00DF406B"/>
    <w:rsid w:val="00DF59D9"/>
    <w:rsid w:val="00E00C45"/>
    <w:rsid w:val="00E05216"/>
    <w:rsid w:val="00E06643"/>
    <w:rsid w:val="00E11783"/>
    <w:rsid w:val="00E21B42"/>
    <w:rsid w:val="00E22169"/>
    <w:rsid w:val="00E2446D"/>
    <w:rsid w:val="00E270B5"/>
    <w:rsid w:val="00E33013"/>
    <w:rsid w:val="00E33D09"/>
    <w:rsid w:val="00E34084"/>
    <w:rsid w:val="00E357B8"/>
    <w:rsid w:val="00E41053"/>
    <w:rsid w:val="00E4205E"/>
    <w:rsid w:val="00E44FB1"/>
    <w:rsid w:val="00E46059"/>
    <w:rsid w:val="00E50DAF"/>
    <w:rsid w:val="00E56EA9"/>
    <w:rsid w:val="00E57CCC"/>
    <w:rsid w:val="00E626BC"/>
    <w:rsid w:val="00E62C0E"/>
    <w:rsid w:val="00E65E9C"/>
    <w:rsid w:val="00E71E06"/>
    <w:rsid w:val="00E7667E"/>
    <w:rsid w:val="00E7759F"/>
    <w:rsid w:val="00E80497"/>
    <w:rsid w:val="00E844EF"/>
    <w:rsid w:val="00E86874"/>
    <w:rsid w:val="00E869C4"/>
    <w:rsid w:val="00E86C85"/>
    <w:rsid w:val="00E91C94"/>
    <w:rsid w:val="00E925BB"/>
    <w:rsid w:val="00E92BEC"/>
    <w:rsid w:val="00E93E1F"/>
    <w:rsid w:val="00E94023"/>
    <w:rsid w:val="00EA07EF"/>
    <w:rsid w:val="00EA22EA"/>
    <w:rsid w:val="00EA54C6"/>
    <w:rsid w:val="00EA78EC"/>
    <w:rsid w:val="00EB6B27"/>
    <w:rsid w:val="00EC49DD"/>
    <w:rsid w:val="00EC7D23"/>
    <w:rsid w:val="00ED0E79"/>
    <w:rsid w:val="00ED11AC"/>
    <w:rsid w:val="00ED1651"/>
    <w:rsid w:val="00ED27E1"/>
    <w:rsid w:val="00EE0806"/>
    <w:rsid w:val="00EE42B0"/>
    <w:rsid w:val="00EE53F9"/>
    <w:rsid w:val="00EE79CD"/>
    <w:rsid w:val="00EF325A"/>
    <w:rsid w:val="00F01C57"/>
    <w:rsid w:val="00F02A2A"/>
    <w:rsid w:val="00F03EF3"/>
    <w:rsid w:val="00F10019"/>
    <w:rsid w:val="00F12AE5"/>
    <w:rsid w:val="00F16F7E"/>
    <w:rsid w:val="00F17B8F"/>
    <w:rsid w:val="00F22B48"/>
    <w:rsid w:val="00F238F0"/>
    <w:rsid w:val="00F23C79"/>
    <w:rsid w:val="00F26AF9"/>
    <w:rsid w:val="00F3151A"/>
    <w:rsid w:val="00F325A2"/>
    <w:rsid w:val="00F331F2"/>
    <w:rsid w:val="00F33C6C"/>
    <w:rsid w:val="00F34BB6"/>
    <w:rsid w:val="00F4307D"/>
    <w:rsid w:val="00F4658E"/>
    <w:rsid w:val="00F51589"/>
    <w:rsid w:val="00F55F00"/>
    <w:rsid w:val="00F57272"/>
    <w:rsid w:val="00F637D4"/>
    <w:rsid w:val="00F653B0"/>
    <w:rsid w:val="00F71D67"/>
    <w:rsid w:val="00F71E3C"/>
    <w:rsid w:val="00F71E63"/>
    <w:rsid w:val="00F721D6"/>
    <w:rsid w:val="00F74545"/>
    <w:rsid w:val="00F7564E"/>
    <w:rsid w:val="00F76E21"/>
    <w:rsid w:val="00F77531"/>
    <w:rsid w:val="00F811B5"/>
    <w:rsid w:val="00F86767"/>
    <w:rsid w:val="00F873FD"/>
    <w:rsid w:val="00F87C54"/>
    <w:rsid w:val="00F94F4F"/>
    <w:rsid w:val="00FA4F6C"/>
    <w:rsid w:val="00FA6F34"/>
    <w:rsid w:val="00FB1AF6"/>
    <w:rsid w:val="00FB5533"/>
    <w:rsid w:val="00FC2385"/>
    <w:rsid w:val="00FC4055"/>
    <w:rsid w:val="00FC4607"/>
    <w:rsid w:val="00FC4FE4"/>
    <w:rsid w:val="00FC70C6"/>
    <w:rsid w:val="00FE02BA"/>
    <w:rsid w:val="00FE7286"/>
    <w:rsid w:val="00FE72C7"/>
    <w:rsid w:val="00FF361E"/>
    <w:rsid w:val="00FF36F4"/>
    <w:rsid w:val="00FF49C8"/>
    <w:rsid w:val="00FF6C9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611C8"/>
  <w15:chartTrackingRefBased/>
  <w15:docId w15:val="{2E85D2B7-829E-4F00-B1AE-01B4E4EC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e">
    <w:name w:val="Normal"/>
    <w:qFormat/>
    <w:rsid w:val="009B7FB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locked/>
    <w:rsid w:val="00842FC3"/>
    <w:pPr>
      <w:tabs>
        <w:tab w:val="center" w:pos="4536"/>
        <w:tab w:val="right" w:pos="9072"/>
      </w:tabs>
      <w:spacing w:after="0" w:line="240" w:lineRule="auto"/>
    </w:pPr>
  </w:style>
  <w:style w:type="character" w:customStyle="1" w:styleId="IntestazioneCarattere">
    <w:name w:val="Intestazione Carattere"/>
    <w:basedOn w:val="Carpredefinitoparagrafo"/>
    <w:link w:val="Intestazione"/>
    <w:uiPriority w:val="99"/>
    <w:rsid w:val="00842FC3"/>
  </w:style>
  <w:style w:type="paragraph" w:styleId="Pidipagina">
    <w:name w:val="footer"/>
    <w:basedOn w:val="Normale"/>
    <w:link w:val="PidipaginaCarattere"/>
    <w:uiPriority w:val="99"/>
    <w:unhideWhenUsed/>
    <w:locked/>
    <w:rsid w:val="00842FC3"/>
    <w:pPr>
      <w:tabs>
        <w:tab w:val="center" w:pos="4536"/>
        <w:tab w:val="right" w:pos="9072"/>
      </w:tabs>
      <w:spacing w:after="0" w:line="240" w:lineRule="auto"/>
    </w:pPr>
  </w:style>
  <w:style w:type="character" w:customStyle="1" w:styleId="PidipaginaCarattere">
    <w:name w:val="Piè di pagina Carattere"/>
    <w:basedOn w:val="Carpredefinitoparagrafo"/>
    <w:link w:val="Pidipagina"/>
    <w:uiPriority w:val="99"/>
    <w:rsid w:val="00842FC3"/>
  </w:style>
  <w:style w:type="paragraph" w:customStyle="1" w:styleId="BasicParagraph">
    <w:name w:val="[Basic Paragraph]"/>
    <w:basedOn w:val="Normale"/>
    <w:uiPriority w:val="99"/>
    <w:locked/>
    <w:rsid w:val="00842FC3"/>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styleId="Paragrafoelenco">
    <w:name w:val="List Paragraph"/>
    <w:basedOn w:val="Normale"/>
    <w:link w:val="ParagrafoelencoCarattere"/>
    <w:uiPriority w:val="34"/>
    <w:qFormat/>
    <w:locked/>
    <w:rsid w:val="00211906"/>
    <w:pPr>
      <w:ind w:left="720"/>
      <w:contextualSpacing/>
    </w:pPr>
  </w:style>
  <w:style w:type="character" w:styleId="Collegamentoipertestuale">
    <w:name w:val="Hyperlink"/>
    <w:basedOn w:val="Carpredefinitoparagrafo"/>
    <w:uiPriority w:val="99"/>
    <w:unhideWhenUsed/>
    <w:locked/>
    <w:rsid w:val="00F331F2"/>
    <w:rPr>
      <w:color w:val="005A70" w:themeColor="hyperlink"/>
      <w:u w:val="single"/>
    </w:rPr>
  </w:style>
  <w:style w:type="paragraph" w:styleId="Testocommento">
    <w:name w:val="annotation text"/>
    <w:basedOn w:val="Normale"/>
    <w:link w:val="TestocommentoCarattere"/>
    <w:unhideWhenUsed/>
    <w:locked/>
    <w:rsid w:val="00F331F2"/>
    <w:pPr>
      <w:spacing w:after="0" w:line="240" w:lineRule="auto"/>
    </w:pPr>
    <w:rPr>
      <w:rFonts w:ascii="Times New Roman" w:eastAsia="Times New Roman" w:hAnsi="Times New Roman" w:cs="Times New Roman"/>
      <w:sz w:val="20"/>
      <w:szCs w:val="20"/>
      <w:lang w:eastAsia="hu-HU"/>
    </w:rPr>
  </w:style>
  <w:style w:type="character" w:customStyle="1" w:styleId="TestocommentoCarattere">
    <w:name w:val="Testo commento Carattere"/>
    <w:basedOn w:val="Carpredefinitoparagrafo"/>
    <w:link w:val="Testocommento"/>
    <w:rsid w:val="00F331F2"/>
    <w:rPr>
      <w:rFonts w:ascii="Times New Roman" w:eastAsia="Times New Roman" w:hAnsi="Times New Roman" w:cs="Times New Roman"/>
      <w:sz w:val="20"/>
      <w:szCs w:val="20"/>
      <w:lang w:eastAsia="hu-HU"/>
    </w:rPr>
  </w:style>
  <w:style w:type="character" w:customStyle="1" w:styleId="ParagrafoelencoCarattere">
    <w:name w:val="Paragrafo elenco Carattere"/>
    <w:link w:val="Paragrafoelenco"/>
    <w:uiPriority w:val="1"/>
    <w:locked/>
    <w:rsid w:val="00F331F2"/>
  </w:style>
  <w:style w:type="paragraph" w:customStyle="1" w:styleId="Default">
    <w:name w:val="Default"/>
    <w:rsid w:val="00F331F2"/>
    <w:pPr>
      <w:autoSpaceDE w:val="0"/>
      <w:autoSpaceDN w:val="0"/>
      <w:adjustRightInd w:val="0"/>
      <w:spacing w:after="0" w:line="240" w:lineRule="auto"/>
    </w:pPr>
    <w:rPr>
      <w:rFonts w:ascii="Arial" w:eastAsiaTheme="minorEastAsia" w:hAnsi="Arial" w:cs="Arial"/>
      <w:color w:val="000000"/>
      <w:sz w:val="24"/>
      <w:szCs w:val="24"/>
      <w:lang w:eastAsia="ja-JP"/>
    </w:rPr>
  </w:style>
  <w:style w:type="paragraph" w:customStyle="1" w:styleId="Level2">
    <w:name w:val="Level 2"/>
    <w:basedOn w:val="Normale"/>
    <w:rsid w:val="00F331F2"/>
    <w:pPr>
      <w:numPr>
        <w:ilvl w:val="1"/>
        <w:numId w:val="3"/>
      </w:numPr>
      <w:spacing w:after="140" w:line="288" w:lineRule="auto"/>
      <w:jc w:val="both"/>
      <w:outlineLvl w:val="1"/>
    </w:pPr>
    <w:rPr>
      <w:rFonts w:ascii="Arial" w:eastAsia="Times New Roman" w:hAnsi="Arial" w:cs="Times New Roman"/>
      <w:kern w:val="20"/>
      <w:sz w:val="20"/>
      <w:szCs w:val="28"/>
      <w:lang w:val="it-IT"/>
    </w:rPr>
  </w:style>
  <w:style w:type="character" w:styleId="Rimandocommento">
    <w:name w:val="annotation reference"/>
    <w:basedOn w:val="Carpredefinitoparagrafo"/>
    <w:semiHidden/>
    <w:unhideWhenUsed/>
    <w:locked/>
    <w:rsid w:val="00F331F2"/>
    <w:rPr>
      <w:sz w:val="16"/>
      <w:szCs w:val="16"/>
    </w:rPr>
  </w:style>
  <w:style w:type="table" w:styleId="Grigliatabella">
    <w:name w:val="Table Grid"/>
    <w:basedOn w:val="Tabellanormale"/>
    <w:uiPriority w:val="39"/>
    <w:locked/>
    <w:rsid w:val="00F331F2"/>
    <w:pPr>
      <w:spacing w:after="0" w:line="240" w:lineRule="auto"/>
    </w:pPr>
    <w:rPr>
      <w:rFonts w:ascii="Times New Roman" w:eastAsia="Times New Roman" w:hAnsi="Times New Roman" w:cs="Times New Roman"/>
      <w:sz w:val="20"/>
      <w:szCs w:val="20"/>
      <w:lang w:eastAsia="hu-H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locked/>
    <w:rsid w:val="00F331F2"/>
    <w:rPr>
      <w:b/>
      <w:bCs/>
    </w:rPr>
  </w:style>
  <w:style w:type="paragraph" w:styleId="Testofumetto">
    <w:name w:val="Balloon Text"/>
    <w:basedOn w:val="Normale"/>
    <w:link w:val="TestofumettoCarattere"/>
    <w:uiPriority w:val="99"/>
    <w:semiHidden/>
    <w:unhideWhenUsed/>
    <w:locked/>
    <w:rsid w:val="00F331F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331F2"/>
    <w:rPr>
      <w:rFonts w:ascii="Segoe UI" w:hAnsi="Segoe UI" w:cs="Segoe UI"/>
      <w:sz w:val="18"/>
      <w:szCs w:val="18"/>
    </w:rPr>
  </w:style>
  <w:style w:type="character" w:customStyle="1" w:styleId="Menzionenonrisolta1">
    <w:name w:val="Menzione non risolta1"/>
    <w:basedOn w:val="Carpredefinitoparagrafo"/>
    <w:uiPriority w:val="99"/>
    <w:semiHidden/>
    <w:unhideWhenUsed/>
    <w:rsid w:val="007137AB"/>
    <w:rPr>
      <w:color w:val="808080"/>
      <w:shd w:val="clear" w:color="auto" w:fill="E6E6E6"/>
    </w:rPr>
  </w:style>
  <w:style w:type="character" w:styleId="Menzionenonrisolta">
    <w:name w:val="Unresolved Mention"/>
    <w:basedOn w:val="Carpredefinitoparagrafo"/>
    <w:uiPriority w:val="99"/>
    <w:semiHidden/>
    <w:unhideWhenUsed/>
    <w:rsid w:val="009B7FB3"/>
    <w:rPr>
      <w:color w:val="605E5C"/>
      <w:shd w:val="clear" w:color="auto" w:fill="E1DFDD"/>
    </w:rPr>
  </w:style>
  <w:style w:type="paragraph" w:styleId="Revisione">
    <w:name w:val="Revision"/>
    <w:hidden/>
    <w:uiPriority w:val="99"/>
    <w:semiHidden/>
    <w:rsid w:val="007C64B6"/>
    <w:pPr>
      <w:spacing w:after="0" w:line="240" w:lineRule="auto"/>
    </w:pPr>
  </w:style>
  <w:style w:type="paragraph" w:styleId="Soggettocommento">
    <w:name w:val="annotation subject"/>
    <w:basedOn w:val="Testocommento"/>
    <w:next w:val="Testocommento"/>
    <w:link w:val="SoggettocommentoCarattere"/>
    <w:uiPriority w:val="99"/>
    <w:semiHidden/>
    <w:unhideWhenUsed/>
    <w:locked/>
    <w:rsid w:val="00716E14"/>
    <w:pPr>
      <w:spacing w:after="160"/>
    </w:pPr>
    <w:rPr>
      <w:rFonts w:asciiTheme="minorHAnsi" w:eastAsiaTheme="minorHAnsi" w:hAnsiTheme="minorHAnsi" w:cstheme="minorBidi"/>
      <w:b/>
      <w:bCs/>
      <w:lang w:eastAsia="en-US"/>
    </w:rPr>
  </w:style>
  <w:style w:type="character" w:customStyle="1" w:styleId="SoggettocommentoCarattere">
    <w:name w:val="Soggetto commento Carattere"/>
    <w:basedOn w:val="TestocommentoCarattere"/>
    <w:link w:val="Soggettocommento"/>
    <w:uiPriority w:val="99"/>
    <w:semiHidden/>
    <w:rsid w:val="00716E14"/>
    <w:rPr>
      <w:rFonts w:ascii="Times New Roman" w:eastAsia="Times New Roman" w:hAnsi="Times New Roman" w:cs="Times New Roman"/>
      <w:b/>
      <w:bCs/>
      <w:sz w:val="20"/>
      <w:szCs w:val="20"/>
      <w:lang w:eastAsia="hu-HU"/>
    </w:rPr>
  </w:style>
  <w:style w:type="paragraph" w:styleId="Testonormale">
    <w:name w:val="Plain Text"/>
    <w:basedOn w:val="Normale"/>
    <w:link w:val="TestonormaleCarattere"/>
    <w:uiPriority w:val="99"/>
    <w:semiHidden/>
    <w:unhideWhenUsed/>
    <w:locked/>
    <w:rsid w:val="00820625"/>
    <w:pPr>
      <w:spacing w:after="0" w:line="240" w:lineRule="auto"/>
    </w:pPr>
    <w:rPr>
      <w:rFonts w:ascii="Calibri" w:hAnsi="Calibri" w:cs="Calibri"/>
      <w:lang w:val="it-IT"/>
      <w14:ligatures w14:val="standardContextual"/>
    </w:rPr>
  </w:style>
  <w:style w:type="character" w:customStyle="1" w:styleId="TestonormaleCarattere">
    <w:name w:val="Testo normale Carattere"/>
    <w:basedOn w:val="Carpredefinitoparagrafo"/>
    <w:link w:val="Testonormale"/>
    <w:uiPriority w:val="99"/>
    <w:semiHidden/>
    <w:rsid w:val="00820625"/>
    <w:rPr>
      <w:rFonts w:ascii="Calibri" w:hAnsi="Calibri" w:cs="Calibri"/>
      <w:lang w:val="it-IT"/>
      <w14:ligatures w14:val="standardContextual"/>
    </w:rPr>
  </w:style>
  <w:style w:type="character" w:styleId="Collegamentovisitato">
    <w:name w:val="FollowedHyperlink"/>
    <w:basedOn w:val="Carpredefinitoparagrafo"/>
    <w:uiPriority w:val="99"/>
    <w:semiHidden/>
    <w:unhideWhenUsed/>
    <w:locked/>
    <w:rsid w:val="00B06161"/>
    <w:rPr>
      <w:color w:val="005A70" w:themeColor="followedHyperlink"/>
      <w:u w:val="single"/>
    </w:rPr>
  </w:style>
  <w:style w:type="paragraph" w:styleId="Testonotaapidipagina">
    <w:name w:val="footnote text"/>
    <w:basedOn w:val="Normale"/>
    <w:link w:val="TestonotaapidipaginaCarattere"/>
    <w:uiPriority w:val="99"/>
    <w:semiHidden/>
    <w:unhideWhenUsed/>
    <w:locked/>
    <w:rsid w:val="005B6BD2"/>
    <w:pPr>
      <w:spacing w:after="0" w:line="240" w:lineRule="auto"/>
    </w:pPr>
    <w:rPr>
      <w:kern w:val="2"/>
      <w:sz w:val="20"/>
      <w:szCs w:val="20"/>
      <w:lang w:val="it-IT"/>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5B6BD2"/>
    <w:rPr>
      <w:kern w:val="2"/>
      <w:sz w:val="20"/>
      <w:szCs w:val="20"/>
      <w:lang w:val="it-IT"/>
      <w14:ligatures w14:val="standardContextual"/>
    </w:rPr>
  </w:style>
  <w:style w:type="character" w:styleId="Rimandonotaapidipagina">
    <w:name w:val="footnote reference"/>
    <w:basedOn w:val="Carpredefinitoparagrafo"/>
    <w:uiPriority w:val="99"/>
    <w:semiHidden/>
    <w:unhideWhenUsed/>
    <w:locked/>
    <w:rsid w:val="005B6BD2"/>
    <w:rPr>
      <w:vertAlign w:val="superscript"/>
    </w:rPr>
  </w:style>
  <w:style w:type="paragraph" w:styleId="Corpotesto">
    <w:name w:val="Body Text"/>
    <w:basedOn w:val="Normale"/>
    <w:link w:val="CorpotestoCarattere"/>
    <w:uiPriority w:val="1"/>
    <w:qFormat/>
    <w:locked/>
    <w:rsid w:val="006565CC"/>
    <w:pPr>
      <w:widowControl w:val="0"/>
      <w:autoSpaceDE w:val="0"/>
      <w:autoSpaceDN w:val="0"/>
      <w:spacing w:after="0" w:line="240" w:lineRule="auto"/>
      <w:ind w:left="23"/>
    </w:pPr>
    <w:rPr>
      <w:rFonts w:ascii="Calibri" w:eastAsia="Calibri" w:hAnsi="Calibri" w:cs="Calibri"/>
      <w:lang w:val="it-IT"/>
    </w:rPr>
  </w:style>
  <w:style w:type="character" w:customStyle="1" w:styleId="CorpotestoCarattere">
    <w:name w:val="Corpo testo Carattere"/>
    <w:basedOn w:val="Carpredefinitoparagrafo"/>
    <w:link w:val="Corpotesto"/>
    <w:uiPriority w:val="1"/>
    <w:rsid w:val="006565CC"/>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227449">
      <w:bodyDiv w:val="1"/>
      <w:marLeft w:val="0"/>
      <w:marRight w:val="0"/>
      <w:marTop w:val="0"/>
      <w:marBottom w:val="0"/>
      <w:divBdr>
        <w:top w:val="none" w:sz="0" w:space="0" w:color="auto"/>
        <w:left w:val="none" w:sz="0" w:space="0" w:color="auto"/>
        <w:bottom w:val="none" w:sz="0" w:space="0" w:color="auto"/>
        <w:right w:val="none" w:sz="0" w:space="0" w:color="auto"/>
      </w:divBdr>
    </w:div>
    <w:div w:id="320813957">
      <w:bodyDiv w:val="1"/>
      <w:marLeft w:val="0"/>
      <w:marRight w:val="0"/>
      <w:marTop w:val="0"/>
      <w:marBottom w:val="0"/>
      <w:divBdr>
        <w:top w:val="none" w:sz="0" w:space="0" w:color="auto"/>
        <w:left w:val="none" w:sz="0" w:space="0" w:color="auto"/>
        <w:bottom w:val="none" w:sz="0" w:space="0" w:color="auto"/>
        <w:right w:val="none" w:sz="0" w:space="0" w:color="auto"/>
      </w:divBdr>
      <w:divsChild>
        <w:div w:id="1859780735">
          <w:marLeft w:val="0"/>
          <w:marRight w:val="0"/>
          <w:marTop w:val="0"/>
          <w:marBottom w:val="0"/>
          <w:divBdr>
            <w:top w:val="none" w:sz="0" w:space="0" w:color="auto"/>
            <w:left w:val="none" w:sz="0" w:space="0" w:color="auto"/>
            <w:bottom w:val="none" w:sz="0" w:space="0" w:color="auto"/>
            <w:right w:val="none" w:sz="0" w:space="0" w:color="auto"/>
          </w:divBdr>
        </w:div>
      </w:divsChild>
    </w:div>
    <w:div w:id="395251037">
      <w:bodyDiv w:val="1"/>
      <w:marLeft w:val="0"/>
      <w:marRight w:val="0"/>
      <w:marTop w:val="0"/>
      <w:marBottom w:val="0"/>
      <w:divBdr>
        <w:top w:val="none" w:sz="0" w:space="0" w:color="auto"/>
        <w:left w:val="none" w:sz="0" w:space="0" w:color="auto"/>
        <w:bottom w:val="none" w:sz="0" w:space="0" w:color="auto"/>
        <w:right w:val="none" w:sz="0" w:space="0" w:color="auto"/>
      </w:divBdr>
    </w:div>
    <w:div w:id="459419309">
      <w:bodyDiv w:val="1"/>
      <w:marLeft w:val="0"/>
      <w:marRight w:val="0"/>
      <w:marTop w:val="0"/>
      <w:marBottom w:val="0"/>
      <w:divBdr>
        <w:top w:val="none" w:sz="0" w:space="0" w:color="auto"/>
        <w:left w:val="none" w:sz="0" w:space="0" w:color="auto"/>
        <w:bottom w:val="none" w:sz="0" w:space="0" w:color="auto"/>
        <w:right w:val="none" w:sz="0" w:space="0" w:color="auto"/>
      </w:divBdr>
    </w:div>
    <w:div w:id="461583020">
      <w:bodyDiv w:val="1"/>
      <w:marLeft w:val="0"/>
      <w:marRight w:val="0"/>
      <w:marTop w:val="0"/>
      <w:marBottom w:val="0"/>
      <w:divBdr>
        <w:top w:val="none" w:sz="0" w:space="0" w:color="auto"/>
        <w:left w:val="none" w:sz="0" w:space="0" w:color="auto"/>
        <w:bottom w:val="none" w:sz="0" w:space="0" w:color="auto"/>
        <w:right w:val="none" w:sz="0" w:space="0" w:color="auto"/>
      </w:divBdr>
    </w:div>
    <w:div w:id="573779212">
      <w:bodyDiv w:val="1"/>
      <w:marLeft w:val="0"/>
      <w:marRight w:val="0"/>
      <w:marTop w:val="0"/>
      <w:marBottom w:val="0"/>
      <w:divBdr>
        <w:top w:val="none" w:sz="0" w:space="0" w:color="auto"/>
        <w:left w:val="none" w:sz="0" w:space="0" w:color="auto"/>
        <w:bottom w:val="none" w:sz="0" w:space="0" w:color="auto"/>
        <w:right w:val="none" w:sz="0" w:space="0" w:color="auto"/>
      </w:divBdr>
    </w:div>
    <w:div w:id="598678851">
      <w:bodyDiv w:val="1"/>
      <w:marLeft w:val="0"/>
      <w:marRight w:val="0"/>
      <w:marTop w:val="0"/>
      <w:marBottom w:val="0"/>
      <w:divBdr>
        <w:top w:val="none" w:sz="0" w:space="0" w:color="auto"/>
        <w:left w:val="none" w:sz="0" w:space="0" w:color="auto"/>
        <w:bottom w:val="none" w:sz="0" w:space="0" w:color="auto"/>
        <w:right w:val="none" w:sz="0" w:space="0" w:color="auto"/>
      </w:divBdr>
    </w:div>
    <w:div w:id="742678847">
      <w:bodyDiv w:val="1"/>
      <w:marLeft w:val="0"/>
      <w:marRight w:val="0"/>
      <w:marTop w:val="0"/>
      <w:marBottom w:val="0"/>
      <w:divBdr>
        <w:top w:val="none" w:sz="0" w:space="0" w:color="auto"/>
        <w:left w:val="none" w:sz="0" w:space="0" w:color="auto"/>
        <w:bottom w:val="none" w:sz="0" w:space="0" w:color="auto"/>
        <w:right w:val="none" w:sz="0" w:space="0" w:color="auto"/>
      </w:divBdr>
      <w:divsChild>
        <w:div w:id="633029150">
          <w:marLeft w:val="0"/>
          <w:marRight w:val="0"/>
          <w:marTop w:val="0"/>
          <w:marBottom w:val="0"/>
          <w:divBdr>
            <w:top w:val="none" w:sz="0" w:space="0" w:color="auto"/>
            <w:left w:val="none" w:sz="0" w:space="0" w:color="auto"/>
            <w:bottom w:val="none" w:sz="0" w:space="0" w:color="auto"/>
            <w:right w:val="none" w:sz="0" w:space="0" w:color="auto"/>
          </w:divBdr>
        </w:div>
      </w:divsChild>
    </w:div>
    <w:div w:id="865021052">
      <w:bodyDiv w:val="1"/>
      <w:marLeft w:val="0"/>
      <w:marRight w:val="0"/>
      <w:marTop w:val="0"/>
      <w:marBottom w:val="0"/>
      <w:divBdr>
        <w:top w:val="none" w:sz="0" w:space="0" w:color="auto"/>
        <w:left w:val="none" w:sz="0" w:space="0" w:color="auto"/>
        <w:bottom w:val="none" w:sz="0" w:space="0" w:color="auto"/>
        <w:right w:val="none" w:sz="0" w:space="0" w:color="auto"/>
      </w:divBdr>
    </w:div>
    <w:div w:id="1046685455">
      <w:bodyDiv w:val="1"/>
      <w:marLeft w:val="0"/>
      <w:marRight w:val="0"/>
      <w:marTop w:val="0"/>
      <w:marBottom w:val="0"/>
      <w:divBdr>
        <w:top w:val="none" w:sz="0" w:space="0" w:color="auto"/>
        <w:left w:val="none" w:sz="0" w:space="0" w:color="auto"/>
        <w:bottom w:val="none" w:sz="0" w:space="0" w:color="auto"/>
        <w:right w:val="none" w:sz="0" w:space="0" w:color="auto"/>
      </w:divBdr>
    </w:div>
    <w:div w:id="1053043823">
      <w:bodyDiv w:val="1"/>
      <w:marLeft w:val="0"/>
      <w:marRight w:val="0"/>
      <w:marTop w:val="0"/>
      <w:marBottom w:val="0"/>
      <w:divBdr>
        <w:top w:val="none" w:sz="0" w:space="0" w:color="auto"/>
        <w:left w:val="none" w:sz="0" w:space="0" w:color="auto"/>
        <w:bottom w:val="none" w:sz="0" w:space="0" w:color="auto"/>
        <w:right w:val="none" w:sz="0" w:space="0" w:color="auto"/>
      </w:divBdr>
    </w:div>
    <w:div w:id="1231428405">
      <w:bodyDiv w:val="1"/>
      <w:marLeft w:val="0"/>
      <w:marRight w:val="0"/>
      <w:marTop w:val="0"/>
      <w:marBottom w:val="0"/>
      <w:divBdr>
        <w:top w:val="none" w:sz="0" w:space="0" w:color="auto"/>
        <w:left w:val="none" w:sz="0" w:space="0" w:color="auto"/>
        <w:bottom w:val="none" w:sz="0" w:space="0" w:color="auto"/>
        <w:right w:val="none" w:sz="0" w:space="0" w:color="auto"/>
      </w:divBdr>
    </w:div>
    <w:div w:id="1494179321">
      <w:bodyDiv w:val="1"/>
      <w:marLeft w:val="0"/>
      <w:marRight w:val="0"/>
      <w:marTop w:val="0"/>
      <w:marBottom w:val="0"/>
      <w:divBdr>
        <w:top w:val="none" w:sz="0" w:space="0" w:color="auto"/>
        <w:left w:val="none" w:sz="0" w:space="0" w:color="auto"/>
        <w:bottom w:val="none" w:sz="0" w:space="0" w:color="auto"/>
        <w:right w:val="none" w:sz="0" w:space="0" w:color="auto"/>
      </w:divBdr>
    </w:div>
    <w:div w:id="1630356454">
      <w:bodyDiv w:val="1"/>
      <w:marLeft w:val="0"/>
      <w:marRight w:val="0"/>
      <w:marTop w:val="0"/>
      <w:marBottom w:val="0"/>
      <w:divBdr>
        <w:top w:val="none" w:sz="0" w:space="0" w:color="auto"/>
        <w:left w:val="none" w:sz="0" w:space="0" w:color="auto"/>
        <w:bottom w:val="none" w:sz="0" w:space="0" w:color="auto"/>
        <w:right w:val="none" w:sz="0" w:space="0" w:color="auto"/>
      </w:divBdr>
    </w:div>
    <w:div w:id="1669359315">
      <w:bodyDiv w:val="1"/>
      <w:marLeft w:val="0"/>
      <w:marRight w:val="0"/>
      <w:marTop w:val="0"/>
      <w:marBottom w:val="0"/>
      <w:divBdr>
        <w:top w:val="none" w:sz="0" w:space="0" w:color="auto"/>
        <w:left w:val="none" w:sz="0" w:space="0" w:color="auto"/>
        <w:bottom w:val="none" w:sz="0" w:space="0" w:color="auto"/>
        <w:right w:val="none" w:sz="0" w:space="0" w:color="auto"/>
      </w:divBdr>
    </w:div>
    <w:div w:id="1690135094">
      <w:bodyDiv w:val="1"/>
      <w:marLeft w:val="0"/>
      <w:marRight w:val="0"/>
      <w:marTop w:val="0"/>
      <w:marBottom w:val="0"/>
      <w:divBdr>
        <w:top w:val="none" w:sz="0" w:space="0" w:color="auto"/>
        <w:left w:val="none" w:sz="0" w:space="0" w:color="auto"/>
        <w:bottom w:val="none" w:sz="0" w:space="0" w:color="auto"/>
        <w:right w:val="none" w:sz="0" w:space="0" w:color="auto"/>
      </w:divBdr>
    </w:div>
    <w:div w:id="1717924602">
      <w:bodyDiv w:val="1"/>
      <w:marLeft w:val="0"/>
      <w:marRight w:val="0"/>
      <w:marTop w:val="0"/>
      <w:marBottom w:val="0"/>
      <w:divBdr>
        <w:top w:val="none" w:sz="0" w:space="0" w:color="auto"/>
        <w:left w:val="none" w:sz="0" w:space="0" w:color="auto"/>
        <w:bottom w:val="none" w:sz="0" w:space="0" w:color="auto"/>
        <w:right w:val="none" w:sz="0" w:space="0" w:color="auto"/>
      </w:divBdr>
    </w:div>
    <w:div w:id="1748266423">
      <w:bodyDiv w:val="1"/>
      <w:marLeft w:val="0"/>
      <w:marRight w:val="0"/>
      <w:marTop w:val="0"/>
      <w:marBottom w:val="0"/>
      <w:divBdr>
        <w:top w:val="none" w:sz="0" w:space="0" w:color="auto"/>
        <w:left w:val="none" w:sz="0" w:space="0" w:color="auto"/>
        <w:bottom w:val="none" w:sz="0" w:space="0" w:color="auto"/>
        <w:right w:val="none" w:sz="0" w:space="0" w:color="auto"/>
      </w:divBdr>
      <w:divsChild>
        <w:div w:id="567809470">
          <w:marLeft w:val="0"/>
          <w:marRight w:val="0"/>
          <w:marTop w:val="0"/>
          <w:marBottom w:val="0"/>
          <w:divBdr>
            <w:top w:val="none" w:sz="0" w:space="0" w:color="auto"/>
            <w:left w:val="none" w:sz="0" w:space="0" w:color="auto"/>
            <w:bottom w:val="none" w:sz="0" w:space="0" w:color="auto"/>
            <w:right w:val="none" w:sz="0" w:space="0" w:color="auto"/>
          </w:divBdr>
        </w:div>
      </w:divsChild>
    </w:div>
    <w:div w:id="1748919116">
      <w:bodyDiv w:val="1"/>
      <w:marLeft w:val="0"/>
      <w:marRight w:val="0"/>
      <w:marTop w:val="0"/>
      <w:marBottom w:val="0"/>
      <w:divBdr>
        <w:top w:val="none" w:sz="0" w:space="0" w:color="auto"/>
        <w:left w:val="none" w:sz="0" w:space="0" w:color="auto"/>
        <w:bottom w:val="none" w:sz="0" w:space="0" w:color="auto"/>
        <w:right w:val="none" w:sz="0" w:space="0" w:color="auto"/>
      </w:divBdr>
    </w:div>
    <w:div w:id="1774126568">
      <w:bodyDiv w:val="1"/>
      <w:marLeft w:val="0"/>
      <w:marRight w:val="0"/>
      <w:marTop w:val="0"/>
      <w:marBottom w:val="0"/>
      <w:divBdr>
        <w:top w:val="none" w:sz="0" w:space="0" w:color="auto"/>
        <w:left w:val="none" w:sz="0" w:space="0" w:color="auto"/>
        <w:bottom w:val="none" w:sz="0" w:space="0" w:color="auto"/>
        <w:right w:val="none" w:sz="0" w:space="0" w:color="auto"/>
      </w:divBdr>
    </w:div>
    <w:div w:id="1829976309">
      <w:bodyDiv w:val="1"/>
      <w:marLeft w:val="0"/>
      <w:marRight w:val="0"/>
      <w:marTop w:val="0"/>
      <w:marBottom w:val="0"/>
      <w:divBdr>
        <w:top w:val="none" w:sz="0" w:space="0" w:color="auto"/>
        <w:left w:val="none" w:sz="0" w:space="0" w:color="auto"/>
        <w:bottom w:val="none" w:sz="0" w:space="0" w:color="auto"/>
        <w:right w:val="none" w:sz="0" w:space="0" w:color="auto"/>
      </w:divBdr>
    </w:div>
    <w:div w:id="1892619394">
      <w:bodyDiv w:val="1"/>
      <w:marLeft w:val="0"/>
      <w:marRight w:val="0"/>
      <w:marTop w:val="0"/>
      <w:marBottom w:val="0"/>
      <w:divBdr>
        <w:top w:val="none" w:sz="0" w:space="0" w:color="auto"/>
        <w:left w:val="none" w:sz="0" w:space="0" w:color="auto"/>
        <w:bottom w:val="none" w:sz="0" w:space="0" w:color="auto"/>
        <w:right w:val="none" w:sz="0" w:space="0" w:color="auto"/>
      </w:divBdr>
      <w:divsChild>
        <w:div w:id="693506948">
          <w:marLeft w:val="0"/>
          <w:marRight w:val="0"/>
          <w:marTop w:val="0"/>
          <w:marBottom w:val="0"/>
          <w:divBdr>
            <w:top w:val="none" w:sz="0" w:space="0" w:color="auto"/>
            <w:left w:val="none" w:sz="0" w:space="0" w:color="auto"/>
            <w:bottom w:val="none" w:sz="0" w:space="0" w:color="auto"/>
            <w:right w:val="none" w:sz="0" w:space="0" w:color="auto"/>
          </w:divBdr>
        </w:div>
      </w:divsChild>
    </w:div>
    <w:div w:id="1913389593">
      <w:bodyDiv w:val="1"/>
      <w:marLeft w:val="0"/>
      <w:marRight w:val="0"/>
      <w:marTop w:val="0"/>
      <w:marBottom w:val="0"/>
      <w:divBdr>
        <w:top w:val="none" w:sz="0" w:space="0" w:color="auto"/>
        <w:left w:val="none" w:sz="0" w:space="0" w:color="auto"/>
        <w:bottom w:val="none" w:sz="0" w:space="0" w:color="auto"/>
        <w:right w:val="none" w:sz="0" w:space="0" w:color="auto"/>
      </w:divBdr>
    </w:div>
    <w:div w:id="1973169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era.it/atlante-per-il-consumatore/elettricita/il-contratto/voltura-e-subentro/il-venditore-puo-addebitare-la-morosita-del-precedente-intestatario-in-caso-di-subentro-o-di-voltur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uido.dauria@met.com" TargetMode="Externa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3" Type="http://schemas.openxmlformats.org/officeDocument/2006/relationships/oleObject" Target="embeddings/oleObject4.bin"/><Relationship Id="rId2" Type="http://schemas.openxmlformats.org/officeDocument/2006/relationships/oleObject" Target="embeddings/oleObject3.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téma">
  <a:themeElements>
    <a:clrScheme name="MET">
      <a:dk1>
        <a:sysClr val="windowText" lastClr="000000"/>
      </a:dk1>
      <a:lt1>
        <a:sysClr val="window" lastClr="FFFFFF"/>
      </a:lt1>
      <a:dk2>
        <a:srgbClr val="005A70"/>
      </a:dk2>
      <a:lt2>
        <a:srgbClr val="FFFFFF"/>
      </a:lt2>
      <a:accent1>
        <a:srgbClr val="005A70"/>
      </a:accent1>
      <a:accent2>
        <a:srgbClr val="77C5D5"/>
      </a:accent2>
      <a:accent3>
        <a:srgbClr val="D9D9D9"/>
      </a:accent3>
      <a:accent4>
        <a:srgbClr val="63666A"/>
      </a:accent4>
      <a:accent5>
        <a:srgbClr val="F2A900"/>
      </a:accent5>
      <a:accent6>
        <a:srgbClr val="49C5B1"/>
      </a:accent6>
      <a:hlink>
        <a:srgbClr val="005A70"/>
      </a:hlink>
      <a:folHlink>
        <a:srgbClr val="005A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C53CF037B9B22409561AECD0B9B6DCD" ma:contentTypeVersion="21" ma:contentTypeDescription="Creare un nuovo documento." ma:contentTypeScope="" ma:versionID="4d1dc22056eb844b37b853a383d8893f">
  <xsd:schema xmlns:xsd="http://www.w3.org/2001/XMLSchema" xmlns:xs="http://www.w3.org/2001/XMLSchema" xmlns:p="http://schemas.microsoft.com/office/2006/metadata/properties" xmlns:ns2="99c1206e-fcfc-4043-aa7b-ec60efcc87ad" xmlns:ns3="626a9895-1091-4fe7-b8bd-df85501164fb" targetNamespace="http://schemas.microsoft.com/office/2006/metadata/properties" ma:root="true" ma:fieldsID="1e6b023a34c3cf12d75d88315c5fd011" ns2:_="" ns3:_="">
    <xsd:import namespace="99c1206e-fcfc-4043-aa7b-ec60efcc87ad"/>
    <xsd:import namespace="626a9895-1091-4fe7-b8bd-df85501164fb"/>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c1206e-fcfc-4043-aa7b-ec60efcc87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Tag immagine" ma:readOnly="false" ma:fieldId="{5cf76f15-5ced-4ddc-b409-7134ff3c332f}" ma:taxonomyMulti="true" ma:sspId="a80affac-8c33-4d97-bb50-84f6a7cdd8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6a9895-1091-4fe7-b8bd-df85501164fb" elementFormDefault="qualified">
    <xsd:import namespace="http://schemas.microsoft.com/office/2006/documentManagement/types"/>
    <xsd:import namespace="http://schemas.microsoft.com/office/infopath/2007/PartnerControls"/>
    <xsd:element name="SharedWithUsers" ma:index="1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Condiviso con dettagli" ma:internalName="SharedWithDetails" ma:readOnly="true">
      <xsd:simpleType>
        <xsd:restriction base="dms:Note">
          <xsd:maxLength value="255"/>
        </xsd:restriction>
      </xsd:simpleType>
    </xsd:element>
    <xsd:element name="TaxCatchAll" ma:index="21" nillable="true" ma:displayName="Taxonomy Catch All Column" ma:hidden="true" ma:list="{e5fcb1d9-380a-4b03-a7e2-085d48f64f88}" ma:internalName="TaxCatchAll" ma:showField="CatchAllData" ma:web="626a9895-1091-4fe7-b8bd-df85501164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26a9895-1091-4fe7-b8bd-df85501164fb" xsi:nil="true"/>
    <lcf76f155ced4ddcb4097134ff3c332f xmlns="99c1206e-fcfc-4043-aa7b-ec60efcc87a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3C1727-8B4E-426C-A950-2B74525E5739}">
  <ds:schemaRefs>
    <ds:schemaRef ds:uri="http://schemas.openxmlformats.org/officeDocument/2006/bibliography"/>
  </ds:schemaRefs>
</ds:datastoreItem>
</file>

<file path=customXml/itemProps2.xml><?xml version="1.0" encoding="utf-8"?>
<ds:datastoreItem xmlns:ds="http://schemas.openxmlformats.org/officeDocument/2006/customXml" ds:itemID="{AB75EDDE-3573-4220-AC37-8D9623371637}"/>
</file>

<file path=customXml/itemProps3.xml><?xml version="1.0" encoding="utf-8"?>
<ds:datastoreItem xmlns:ds="http://schemas.openxmlformats.org/officeDocument/2006/customXml" ds:itemID="{921A68D9-A578-4888-829C-54FFFD8352AB}"/>
</file>

<file path=customXml/itemProps4.xml><?xml version="1.0" encoding="utf-8"?>
<ds:datastoreItem xmlns:ds="http://schemas.openxmlformats.org/officeDocument/2006/customXml" ds:itemID="{9310402A-5334-4B42-965D-454A8B23ACEE}"/>
</file>

<file path=docProps/app.xml><?xml version="1.0" encoding="utf-8"?>
<Properties xmlns="http://schemas.openxmlformats.org/officeDocument/2006/extended-properties" xmlns:vt="http://schemas.openxmlformats.org/officeDocument/2006/docPropsVTypes">
  <Template>Normal</Template>
  <TotalTime>1331</TotalTime>
  <Pages>6</Pages>
  <Words>2683</Words>
  <Characters>15295</Characters>
  <Application>Microsoft Office Word</Application>
  <DocSecurity>0</DocSecurity>
  <Lines>127</Lines>
  <Paragraphs>35</Paragraphs>
  <ScaleCrop>false</ScaleCrop>
  <HeadingPairs>
    <vt:vector size="6" baseType="variant">
      <vt:variant>
        <vt:lpstr>Titolo</vt:lpstr>
      </vt:variant>
      <vt:variant>
        <vt:i4>1</vt:i4>
      </vt:variant>
      <vt:variant>
        <vt:lpstr>Title</vt:lpstr>
      </vt:variant>
      <vt:variant>
        <vt:i4>1</vt:i4>
      </vt:variant>
      <vt:variant>
        <vt:lpstr>Cím</vt:lpstr>
      </vt:variant>
      <vt:variant>
        <vt:i4>1</vt:i4>
      </vt:variant>
    </vt:vector>
  </HeadingPairs>
  <TitlesOfParts>
    <vt:vector size="3" baseType="lpstr">
      <vt:lpstr/>
      <vt:lpstr/>
      <vt:lpstr/>
    </vt:vector>
  </TitlesOfParts>
  <Company/>
  <LinksUpToDate>false</LinksUpToDate>
  <CharactersWithSpaces>17943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dc:creator>
  <cp:keywords/>
  <dc:description/>
  <cp:lastModifiedBy>D'Auria, Guido</cp:lastModifiedBy>
  <cp:revision>137</cp:revision>
  <cp:lastPrinted>2022-03-25T09:13:00Z</cp:lastPrinted>
  <dcterms:created xsi:type="dcterms:W3CDTF">2026-05-06T15:47:00Z</dcterms:created>
  <dcterms:modified xsi:type="dcterms:W3CDTF">2026-07-03T06:25:00Z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0x0101005C53CF037B9B22409561AECD0B9B6DCD</vt:lpwstr>
  </property>
</Properties>
</file>